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  <w:lang w:val="en-US" w:eastAsia="zh-CN"/>
        </w:rPr>
        <w:t>附件1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val="en-US" w:eastAsia="zh-CN"/>
        </w:rPr>
        <w:t>肠道菌群移植技术服务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eastAsia="zh-CN"/>
        </w:rPr>
        <w:t>采购项目</w:t>
      </w:r>
      <w:r>
        <w:rPr>
          <w:rFonts w:hint="eastAsia" w:ascii="方正小标宋简体" w:hAnsi="方正小标宋简体" w:eastAsia="方正小标宋简体" w:cs="方正小标宋简体"/>
          <w:color w:val="auto"/>
          <w:sz w:val="28"/>
          <w:szCs w:val="28"/>
          <w:lang w:val="en-US" w:eastAsia="zh-CN"/>
        </w:rPr>
        <w:t>一览表</w:t>
      </w:r>
    </w:p>
    <w:tbl>
      <w:tblPr>
        <w:tblStyle w:val="3"/>
        <w:tblW w:w="44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536"/>
        <w:gridCol w:w="678"/>
        <w:gridCol w:w="4149"/>
        <w:gridCol w:w="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86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序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号</w:t>
            </w:r>
          </w:p>
        </w:tc>
        <w:tc>
          <w:tcPr>
            <w:tcW w:w="1013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菌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群移植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配套产品</w:t>
            </w:r>
          </w:p>
        </w:tc>
        <w:tc>
          <w:tcPr>
            <w:tcW w:w="447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类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型</w:t>
            </w:r>
          </w:p>
        </w:tc>
        <w:tc>
          <w:tcPr>
            <w:tcW w:w="273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参考技术参数</w:t>
            </w:r>
          </w:p>
        </w:tc>
        <w:tc>
          <w:tcPr>
            <w:tcW w:w="412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单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386" w:type="pct"/>
            <w:vAlign w:val="center"/>
          </w:tcPr>
          <w:p>
            <w:pPr>
              <w:spacing w:line="360" w:lineRule="auto"/>
              <w:ind w:firstLine="1927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013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源标准化定制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群菌液</w:t>
            </w:r>
          </w:p>
        </w:tc>
        <w:tc>
          <w:tcPr>
            <w:tcW w:w="447" w:type="pct"/>
            <w:vAlign w:val="center"/>
          </w:tcPr>
          <w:p>
            <w:pPr>
              <w:spacing w:line="360" w:lineRule="auto"/>
              <w:ind w:firstLine="1927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液</w:t>
            </w:r>
          </w:p>
        </w:tc>
        <w:tc>
          <w:tcPr>
            <w:tcW w:w="2739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主要成分：供体菌液50mL/瓶，菌液的细菌活性应≥80%，每1mL菌液中活细胞数应≥5×10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vertAlign w:val="superscript"/>
                <w:lang w:bidi="ar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CFU。</w:t>
            </w:r>
          </w:p>
        </w:tc>
        <w:tc>
          <w:tcPr>
            <w:tcW w:w="412" w:type="pct"/>
            <w:vAlign w:val="center"/>
          </w:tcPr>
          <w:p>
            <w:pPr>
              <w:spacing w:line="360" w:lineRule="auto"/>
              <w:ind w:firstLine="1927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瓶人次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386" w:type="pct"/>
            <w:vAlign w:val="center"/>
          </w:tcPr>
          <w:p>
            <w:pPr>
              <w:spacing w:line="360" w:lineRule="auto"/>
              <w:ind w:firstLine="1927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1013" w:type="pc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源标准化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群胶囊</w:t>
            </w:r>
          </w:p>
        </w:tc>
        <w:tc>
          <w:tcPr>
            <w:tcW w:w="447" w:type="pct"/>
            <w:vAlign w:val="center"/>
          </w:tcPr>
          <w:p>
            <w:pPr>
              <w:spacing w:line="360" w:lineRule="auto"/>
              <w:ind w:firstLine="1927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胶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囊</w:t>
            </w:r>
          </w:p>
        </w:tc>
        <w:tc>
          <w:tcPr>
            <w:tcW w:w="2739" w:type="pct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主要成分：供体冻干菌粉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bidi="ar"/>
              </w:rPr>
              <w:t>48粒/瓶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（0号胶囊/粒，每粒内容物</w:t>
            </w:r>
            <w:r>
              <w:rPr>
                <w:rStyle w:val="5"/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bidi="ar"/>
              </w:rPr>
              <w:t>不少于4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bidi="ar"/>
              </w:rPr>
              <w:t>50mg），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胶囊细菌活性应≥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%，每克内容物包含活菌数≥2.5×10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vertAlign w:val="superscript"/>
                <w:lang w:bidi="ar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CFU。</w:t>
            </w:r>
          </w:p>
        </w:tc>
        <w:tc>
          <w:tcPr>
            <w:tcW w:w="412" w:type="pct"/>
            <w:vAlign w:val="center"/>
          </w:tcPr>
          <w:p>
            <w:pPr>
              <w:spacing w:line="360" w:lineRule="auto"/>
              <w:ind w:firstLine="1927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克人次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386" w:type="pct"/>
            <w:shd w:val="clear" w:color="auto" w:fill="auto"/>
            <w:vAlign w:val="center"/>
          </w:tcPr>
          <w:p>
            <w:pPr>
              <w:spacing w:line="360" w:lineRule="auto"/>
              <w:ind w:firstLine="1927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</w:t>
            </w:r>
          </w:p>
        </w:tc>
        <w:tc>
          <w:tcPr>
            <w:tcW w:w="1013" w:type="pct"/>
            <w:shd w:val="clear" w:color="auto" w:fill="auto"/>
            <w:vAlign w:val="center"/>
          </w:tcPr>
          <w:p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通量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基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bidi="ar"/>
              </w:rPr>
              <w:t>因测序</w:t>
            </w:r>
          </w:p>
        </w:tc>
        <w:tc>
          <w:tcPr>
            <w:tcW w:w="447" w:type="pc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检验</w:t>
            </w:r>
          </w:p>
        </w:tc>
        <w:tc>
          <w:tcPr>
            <w:tcW w:w="2739" w:type="pct"/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同时具备基于NGS（二代测序）以及Nanopore（三代测序）16s rRNA测序及分析技术。</w:t>
            </w:r>
          </w:p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报告应包含：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菌群紊乱程度总体评分、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菌群多样性分析、肠型、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微生态整体结构、肠道菌群代谢能力、肠道菌群其他功能、疾病风险评估、结果建议等。</w:t>
            </w:r>
          </w:p>
        </w:tc>
        <w:tc>
          <w:tcPr>
            <w:tcW w:w="412" w:type="pct"/>
            <w:shd w:val="clear" w:color="auto" w:fill="auto"/>
            <w:vAlign w:val="center"/>
          </w:tcPr>
          <w:p>
            <w:pPr>
              <w:spacing w:line="360" w:lineRule="auto"/>
              <w:ind w:firstLine="1927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次</w:t>
            </w:r>
          </w:p>
        </w:tc>
      </w:tr>
    </w:tbl>
    <w:p>
      <w:pPr>
        <w:rPr>
          <w:rFonts w:hint="default"/>
          <w:b/>
          <w:bCs/>
          <w:sz w:val="22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0NTVjY2Y0ZDNmNzk1YWVjNzU0ZDFiMDhiYzk4NzQifQ=="/>
  </w:docVars>
  <w:rsids>
    <w:rsidRoot w:val="00000000"/>
    <w:rsid w:val="239416FF"/>
    <w:rsid w:val="51A471E2"/>
    <w:rsid w:val="668C51AC"/>
    <w:rsid w:val="7CCD2795"/>
    <w:rsid w:val="7D54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宋体" w:hAnsi="宋体" w:cs="宋体"/>
      <w:color w:val="FF0000"/>
      <w:kern w:val="0"/>
      <w:szCs w:val="21"/>
    </w:rPr>
  </w:style>
  <w:style w:type="character" w:customStyle="1" w:styleId="5">
    <w:name w:val="font31"/>
    <w:basedOn w:val="4"/>
    <w:qFormat/>
    <w:uiPriority w:val="99"/>
    <w:rPr>
      <w:rFonts w:ascii="宋体" w:hAnsi="宋体" w:eastAsia="宋体"/>
      <w:color w:val="000000"/>
      <w:sz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331</Characters>
  <Lines>0</Lines>
  <Paragraphs>0</Paragraphs>
  <TotalTime>0</TotalTime>
  <ScaleCrop>false</ScaleCrop>
  <LinksUpToDate>false</LinksUpToDate>
  <CharactersWithSpaces>332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2026-04-16T07:06:00Z</dcterms:created>
  <dc:creator>Administrator</dc:creator>
  <cp:lastModifiedBy>周小梅</cp:lastModifiedBy>
  <dcterms:modified xsi:type="dcterms:W3CDTF">2026-09-22T08:42:41Z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TemplateDocerSaveRecord">
    <vt:lpwstr>eyJoZGlkIjoiY2ZlZWY4MTQwNDBkZmEzYzBiOGQ1M2E0ODVjMmYwOGEiLCJ1c2VySWQiOiI1NDgwMDc2NzAifQ==</vt:lpwstr>
  </property>
  <property fmtid="{D5CDD505-2E9C-101B-9397-08002B2CF9AE}" pid="4" name="ICV">
    <vt:lpwstr>848D18953E1A4C8D8998A171514809EB</vt:lpwstr>
  </property>
</Properties>
</file>