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0A233A">
      <w:pPr>
        <w:jc w:val="left"/>
        <w:rPr>
          <w:rFonts w:hint="default" w:ascii="宋体" w:hAnsi="宋体" w:eastAsiaTheme="minorEastAsia"/>
          <w:b/>
          <w:bCs/>
          <w:sz w:val="28"/>
          <w:szCs w:val="28"/>
          <w:lang w:val="en-US" w:eastAsia="zh-CN"/>
        </w:rPr>
      </w:pPr>
      <w:r>
        <w:rPr>
          <w:rFonts w:hint="eastAsia" w:ascii="宋体" w:hAnsi="宋体"/>
          <w:b/>
          <w:bCs/>
          <w:sz w:val="28"/>
          <w:szCs w:val="28"/>
          <w:lang w:val="en-US" w:eastAsia="zh-CN"/>
        </w:rPr>
        <w:t>附件四</w:t>
      </w:r>
    </w:p>
    <w:p w14:paraId="2CE20AF4">
      <w:pPr>
        <w:jc w:val="center"/>
        <w:rPr>
          <w:rFonts w:hint="eastAsia" w:ascii="宋体" w:hAnsi="宋体" w:eastAsiaTheme="minorEastAsia"/>
          <w:b/>
          <w:bCs/>
          <w:sz w:val="28"/>
          <w:szCs w:val="28"/>
          <w:lang w:eastAsia="zh-CN"/>
        </w:rPr>
      </w:pPr>
      <w:r>
        <w:rPr>
          <w:rFonts w:hint="eastAsia" w:ascii="宋体" w:hAnsi="宋体"/>
          <w:b/>
          <w:bCs/>
          <w:sz w:val="28"/>
          <w:szCs w:val="28"/>
        </w:rPr>
        <w:t>报价表</w:t>
      </w:r>
      <w:r>
        <w:rPr>
          <w:rFonts w:hint="eastAsia" w:ascii="宋体" w:hAnsi="宋体"/>
          <w:b/>
          <w:bCs/>
          <w:sz w:val="28"/>
          <w:szCs w:val="28"/>
          <w:lang w:eastAsia="zh-CN"/>
        </w:rPr>
        <w:t>（</w:t>
      </w:r>
      <w:r>
        <w:rPr>
          <w:rFonts w:hint="eastAsia" w:ascii="宋体" w:hAnsi="宋体"/>
          <w:b/>
          <w:bCs/>
          <w:sz w:val="28"/>
          <w:szCs w:val="28"/>
          <w:lang w:val="en-US" w:eastAsia="zh-CN"/>
        </w:rPr>
        <w:t>运维服务</w:t>
      </w:r>
      <w:r>
        <w:rPr>
          <w:rFonts w:hint="eastAsia" w:ascii="宋体" w:hAnsi="宋体"/>
          <w:b/>
          <w:bCs/>
          <w:sz w:val="28"/>
          <w:szCs w:val="28"/>
          <w:lang w:eastAsia="zh-CN"/>
        </w:rPr>
        <w:t>）</w:t>
      </w:r>
    </w:p>
    <w:p w14:paraId="2C3AE27E">
      <w:pPr>
        <w:ind w:firstLine="4512" w:firstLineChars="2140"/>
        <w:rPr>
          <w:rFonts w:ascii="宋体"/>
          <w:b/>
          <w:bCs/>
        </w:rPr>
      </w:pPr>
    </w:p>
    <w:tbl>
      <w:tblPr>
        <w:tblStyle w:val="5"/>
        <w:tblpPr w:leftFromText="180" w:rightFromText="180" w:vertAnchor="text" w:horzAnchor="page" w:tblpXSpec="center" w:tblpY="804"/>
        <w:tblOverlap w:val="never"/>
        <w:tblW w:w="16047" w:type="dxa"/>
        <w:jc w:val="center"/>
        <w:tblLayout w:type="fixed"/>
        <w:tblCellMar>
          <w:top w:w="0" w:type="dxa"/>
          <w:left w:w="0" w:type="dxa"/>
          <w:bottom w:w="0" w:type="dxa"/>
          <w:right w:w="0" w:type="dxa"/>
        </w:tblCellMar>
      </w:tblPr>
      <w:tblGrid>
        <w:gridCol w:w="866"/>
        <w:gridCol w:w="1731"/>
        <w:gridCol w:w="1880"/>
        <w:gridCol w:w="1431"/>
        <w:gridCol w:w="1449"/>
        <w:gridCol w:w="1515"/>
        <w:gridCol w:w="2595"/>
        <w:gridCol w:w="1679"/>
        <w:gridCol w:w="1361"/>
        <w:gridCol w:w="1540"/>
      </w:tblGrid>
      <w:tr w14:paraId="5C12F09C">
        <w:tblPrEx>
          <w:tblCellMar>
            <w:top w:w="0" w:type="dxa"/>
            <w:left w:w="0" w:type="dxa"/>
            <w:bottom w:w="0" w:type="dxa"/>
            <w:right w:w="0" w:type="dxa"/>
          </w:tblCellMar>
        </w:tblPrEx>
        <w:trPr>
          <w:trHeight w:val="678" w:hRule="atLeast"/>
          <w:jc w:val="center"/>
        </w:trPr>
        <w:tc>
          <w:tcPr>
            <w:tcW w:w="86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1397E98">
            <w:pPr>
              <w:autoSpaceDE w:val="0"/>
              <w:autoSpaceDN w:val="0"/>
              <w:adjustRightInd w:val="0"/>
              <w:spacing w:line="360" w:lineRule="auto"/>
              <w:jc w:val="center"/>
              <w:rPr>
                <w:rFonts w:hint="eastAsia" w:ascii="宋体" w:hAnsi="宋体"/>
                <w:b/>
                <w:bCs/>
                <w:kern w:val="0"/>
                <w:sz w:val="24"/>
                <w:lang w:val="en-US" w:eastAsia="zh-CN"/>
              </w:rPr>
            </w:pPr>
            <w:r>
              <w:rPr>
                <w:rFonts w:hint="eastAsia" w:ascii="宋体" w:hAnsi="宋体"/>
                <w:b/>
                <w:bCs/>
                <w:kern w:val="0"/>
                <w:sz w:val="24"/>
                <w:lang w:val="en-US" w:eastAsia="zh-CN"/>
              </w:rPr>
              <w:t>序号</w:t>
            </w:r>
          </w:p>
        </w:tc>
        <w:tc>
          <w:tcPr>
            <w:tcW w:w="173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0D15366">
            <w:pPr>
              <w:autoSpaceDE w:val="0"/>
              <w:autoSpaceDN w:val="0"/>
              <w:adjustRightInd w:val="0"/>
              <w:spacing w:line="360" w:lineRule="auto"/>
              <w:jc w:val="center"/>
              <w:rPr>
                <w:rFonts w:hint="eastAsia" w:ascii="宋体" w:hAnsi="宋体"/>
                <w:b/>
                <w:bCs/>
                <w:kern w:val="0"/>
                <w:sz w:val="24"/>
                <w:lang w:val="en-US" w:eastAsia="zh-CN"/>
              </w:rPr>
            </w:pPr>
            <w:r>
              <w:rPr>
                <w:rFonts w:hint="eastAsia" w:ascii="宋体" w:hAnsi="宋体"/>
                <w:b/>
                <w:bCs/>
                <w:kern w:val="0"/>
                <w:sz w:val="24"/>
                <w:lang w:val="en-US" w:eastAsia="zh-CN"/>
              </w:rPr>
              <w:t>品牌</w:t>
            </w:r>
          </w:p>
        </w:tc>
        <w:tc>
          <w:tcPr>
            <w:tcW w:w="188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401F236">
            <w:pPr>
              <w:autoSpaceDE w:val="0"/>
              <w:autoSpaceDN w:val="0"/>
              <w:adjustRightInd w:val="0"/>
              <w:spacing w:line="360" w:lineRule="auto"/>
              <w:jc w:val="center"/>
              <w:rPr>
                <w:rFonts w:hint="eastAsia" w:ascii="宋体" w:hAnsi="宋体"/>
                <w:b/>
                <w:bCs/>
                <w:kern w:val="0"/>
                <w:sz w:val="24"/>
                <w:lang w:val="en-US" w:eastAsia="zh-CN"/>
              </w:rPr>
            </w:pPr>
            <w:r>
              <w:rPr>
                <w:rFonts w:hint="eastAsia" w:ascii="宋体" w:hAnsi="宋体"/>
                <w:b/>
                <w:bCs/>
                <w:kern w:val="0"/>
                <w:sz w:val="24"/>
                <w:lang w:val="en-US" w:eastAsia="zh-CN"/>
              </w:rPr>
              <w:t>楼层/停站</w:t>
            </w:r>
          </w:p>
        </w:tc>
        <w:tc>
          <w:tcPr>
            <w:tcW w:w="143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95E3A69">
            <w:pPr>
              <w:autoSpaceDE w:val="0"/>
              <w:autoSpaceDN w:val="0"/>
              <w:adjustRightInd w:val="0"/>
              <w:spacing w:line="360" w:lineRule="auto"/>
              <w:jc w:val="center"/>
              <w:rPr>
                <w:rFonts w:hint="eastAsia" w:ascii="宋体" w:hAnsi="宋体"/>
                <w:b/>
                <w:bCs/>
                <w:kern w:val="0"/>
                <w:sz w:val="24"/>
                <w:lang w:val="en-US" w:eastAsia="zh-CN"/>
              </w:rPr>
            </w:pPr>
            <w:r>
              <w:rPr>
                <w:rFonts w:hint="eastAsia" w:ascii="宋体" w:hAnsi="宋体"/>
                <w:b/>
                <w:bCs/>
                <w:kern w:val="0"/>
                <w:sz w:val="24"/>
                <w:lang w:val="en-US" w:eastAsia="zh-CN"/>
              </w:rPr>
              <w:t>载重</w:t>
            </w:r>
          </w:p>
        </w:tc>
        <w:tc>
          <w:tcPr>
            <w:tcW w:w="144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44293B5">
            <w:pPr>
              <w:autoSpaceDE w:val="0"/>
              <w:autoSpaceDN w:val="0"/>
              <w:adjustRightInd w:val="0"/>
              <w:spacing w:line="360" w:lineRule="auto"/>
              <w:jc w:val="center"/>
              <w:rPr>
                <w:rFonts w:hint="eastAsia" w:ascii="宋体" w:hAnsi="宋体"/>
                <w:b/>
                <w:bCs/>
                <w:kern w:val="0"/>
                <w:sz w:val="24"/>
                <w:lang w:val="en-US" w:eastAsia="zh-CN"/>
              </w:rPr>
            </w:pPr>
            <w:r>
              <w:rPr>
                <w:rFonts w:hint="eastAsia" w:ascii="宋体" w:hAnsi="宋体"/>
                <w:b/>
                <w:bCs/>
                <w:kern w:val="0"/>
                <w:sz w:val="24"/>
                <w:lang w:val="en-US" w:eastAsia="zh-CN"/>
              </w:rPr>
              <w:t>速度</w:t>
            </w:r>
          </w:p>
        </w:tc>
        <w:tc>
          <w:tcPr>
            <w:tcW w:w="15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22266AB">
            <w:pPr>
              <w:autoSpaceDE w:val="0"/>
              <w:autoSpaceDN w:val="0"/>
              <w:adjustRightInd w:val="0"/>
              <w:spacing w:line="360" w:lineRule="auto"/>
              <w:jc w:val="center"/>
              <w:rPr>
                <w:rFonts w:hint="eastAsia" w:ascii="宋体" w:hAnsi="宋体"/>
                <w:b/>
                <w:bCs/>
                <w:kern w:val="0"/>
                <w:sz w:val="24"/>
                <w:lang w:val="en-US" w:eastAsia="zh-CN"/>
              </w:rPr>
            </w:pPr>
            <w:r>
              <w:rPr>
                <w:rFonts w:hint="eastAsia" w:ascii="宋体" w:hAnsi="宋体"/>
                <w:b/>
                <w:bCs/>
                <w:kern w:val="0"/>
                <w:sz w:val="24"/>
                <w:lang w:val="en-US" w:eastAsia="zh-CN"/>
              </w:rPr>
              <w:t>台数</w:t>
            </w:r>
          </w:p>
        </w:tc>
        <w:tc>
          <w:tcPr>
            <w:tcW w:w="2595" w:type="dxa"/>
            <w:tcBorders>
              <w:top w:val="single" w:color="auto" w:sz="4" w:space="0"/>
              <w:left w:val="nil"/>
              <w:bottom w:val="single" w:color="auto" w:sz="4" w:space="0"/>
              <w:right w:val="single" w:color="auto" w:sz="4" w:space="0"/>
            </w:tcBorders>
            <w:shd w:val="clear" w:color="auto" w:fill="FFFFFF"/>
            <w:noWrap w:val="0"/>
            <w:vAlign w:val="center"/>
          </w:tcPr>
          <w:p w14:paraId="789A221C">
            <w:pPr>
              <w:autoSpaceDE w:val="0"/>
              <w:autoSpaceDN w:val="0"/>
              <w:adjustRightInd w:val="0"/>
              <w:spacing w:line="360" w:lineRule="auto"/>
              <w:jc w:val="center"/>
              <w:rPr>
                <w:rFonts w:hint="eastAsia" w:ascii="宋体" w:hAnsi="宋体" w:eastAsiaTheme="minorEastAsia"/>
                <w:b/>
                <w:bCs/>
                <w:sz w:val="24"/>
                <w:lang w:eastAsia="zh-CN"/>
              </w:rPr>
            </w:pPr>
            <w:r>
              <w:rPr>
                <w:rFonts w:hint="eastAsia" w:ascii="宋体" w:hAnsi="宋体"/>
                <w:b/>
                <w:bCs/>
                <w:sz w:val="24"/>
                <w:lang w:val="en-US" w:eastAsia="zh-CN"/>
              </w:rPr>
              <w:t>服务</w:t>
            </w:r>
          </w:p>
        </w:tc>
        <w:tc>
          <w:tcPr>
            <w:tcW w:w="1679" w:type="dxa"/>
            <w:tcBorders>
              <w:top w:val="single" w:color="auto" w:sz="4" w:space="0"/>
              <w:left w:val="nil"/>
              <w:bottom w:val="single" w:color="auto" w:sz="4" w:space="0"/>
              <w:right w:val="single" w:color="auto" w:sz="4" w:space="0"/>
            </w:tcBorders>
            <w:noWrap w:val="0"/>
            <w:vAlign w:val="center"/>
          </w:tcPr>
          <w:p w14:paraId="6918DE02">
            <w:pPr>
              <w:spacing w:line="400" w:lineRule="exact"/>
              <w:jc w:val="center"/>
              <w:rPr>
                <w:rFonts w:hint="eastAsia" w:ascii="宋体" w:hAnsi="宋体" w:eastAsiaTheme="minorEastAsia"/>
                <w:sz w:val="24"/>
                <w:lang w:eastAsia="zh-CN"/>
              </w:rPr>
            </w:pPr>
            <w:r>
              <w:rPr>
                <w:rFonts w:hint="eastAsia" w:ascii="宋体" w:hAnsi="宋体"/>
                <w:sz w:val="24"/>
                <w:lang w:val="en-US" w:eastAsia="zh-CN"/>
              </w:rPr>
              <w:t>数量（月）</w:t>
            </w:r>
          </w:p>
        </w:tc>
        <w:tc>
          <w:tcPr>
            <w:tcW w:w="1361" w:type="dxa"/>
            <w:tcBorders>
              <w:top w:val="single" w:color="auto" w:sz="4" w:space="0"/>
              <w:left w:val="nil"/>
              <w:bottom w:val="single" w:color="auto" w:sz="4" w:space="0"/>
              <w:right w:val="single" w:color="auto" w:sz="4" w:space="0"/>
            </w:tcBorders>
            <w:noWrap w:val="0"/>
            <w:vAlign w:val="center"/>
          </w:tcPr>
          <w:p w14:paraId="5729B0A8">
            <w:pPr>
              <w:spacing w:line="400" w:lineRule="exact"/>
              <w:jc w:val="center"/>
              <w:rPr>
                <w:rFonts w:ascii="宋体" w:hAnsi="宋体"/>
                <w:sz w:val="24"/>
              </w:rPr>
            </w:pPr>
            <w:r>
              <w:rPr>
                <w:rFonts w:hint="eastAsia" w:ascii="宋体" w:hAnsi="宋体"/>
                <w:sz w:val="24"/>
                <w:lang w:val="en-US" w:eastAsia="zh-CN"/>
              </w:rPr>
              <w:t>单</w:t>
            </w:r>
            <w:r>
              <w:rPr>
                <w:rFonts w:hint="eastAsia" w:ascii="宋体" w:hAnsi="宋体"/>
                <w:sz w:val="24"/>
              </w:rPr>
              <w:t>价(元</w:t>
            </w:r>
            <w:r>
              <w:rPr>
                <w:rFonts w:hint="eastAsia" w:ascii="宋体" w:hAnsi="宋体"/>
                <w:sz w:val="24"/>
                <w:lang w:val="en-US" w:eastAsia="zh-CN"/>
              </w:rPr>
              <w:t>/月</w:t>
            </w:r>
            <w:r>
              <w:rPr>
                <w:rFonts w:hint="eastAsia" w:ascii="宋体" w:hAnsi="宋体"/>
                <w:sz w:val="24"/>
              </w:rPr>
              <w:t>)</w:t>
            </w:r>
          </w:p>
        </w:tc>
        <w:tc>
          <w:tcPr>
            <w:tcW w:w="1540" w:type="dxa"/>
            <w:tcBorders>
              <w:top w:val="single" w:color="auto" w:sz="4" w:space="0"/>
              <w:left w:val="nil"/>
              <w:bottom w:val="single" w:color="auto" w:sz="4" w:space="0"/>
              <w:right w:val="single" w:color="auto" w:sz="4" w:space="0"/>
            </w:tcBorders>
            <w:noWrap w:val="0"/>
            <w:vAlign w:val="center"/>
          </w:tcPr>
          <w:p w14:paraId="0A2FC29B">
            <w:pPr>
              <w:spacing w:line="400" w:lineRule="exact"/>
              <w:jc w:val="center"/>
              <w:rPr>
                <w:rFonts w:hint="default" w:ascii="宋体" w:hAnsi="宋体"/>
                <w:sz w:val="24"/>
                <w:lang w:val="en-US" w:eastAsia="zh-CN"/>
              </w:rPr>
            </w:pPr>
            <w:r>
              <w:rPr>
                <w:rFonts w:hint="eastAsia" w:ascii="宋体" w:hAnsi="宋体"/>
                <w:sz w:val="24"/>
                <w:lang w:val="en-US" w:eastAsia="zh-CN"/>
              </w:rPr>
              <w:t>总价(元)</w:t>
            </w:r>
          </w:p>
        </w:tc>
      </w:tr>
      <w:tr w14:paraId="517470ED">
        <w:tblPrEx>
          <w:tblCellMar>
            <w:top w:w="0" w:type="dxa"/>
            <w:left w:w="0" w:type="dxa"/>
            <w:bottom w:w="0" w:type="dxa"/>
            <w:right w:w="0" w:type="dxa"/>
          </w:tblCellMar>
        </w:tblPrEx>
        <w:trPr>
          <w:trHeight w:val="397" w:hRule="atLeast"/>
          <w:jc w:val="center"/>
        </w:trPr>
        <w:tc>
          <w:tcPr>
            <w:tcW w:w="86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5BE4D9C">
            <w:pPr>
              <w:autoSpaceDE w:val="0"/>
              <w:autoSpaceDN w:val="0"/>
              <w:adjustRightInd w:val="0"/>
              <w:spacing w:line="360" w:lineRule="auto"/>
              <w:jc w:val="center"/>
              <w:rPr>
                <w:rFonts w:hint="eastAsia" w:ascii="宋体" w:hAnsi="宋体"/>
                <w:b/>
                <w:bCs/>
                <w:kern w:val="0"/>
                <w:sz w:val="24"/>
                <w:lang w:val="en-US" w:eastAsia="zh-CN"/>
              </w:rPr>
            </w:pPr>
            <w:r>
              <w:rPr>
                <w:rFonts w:hint="eastAsia" w:ascii="宋体" w:hAnsi="宋体"/>
                <w:b/>
                <w:bCs/>
                <w:kern w:val="0"/>
                <w:sz w:val="24"/>
                <w:lang w:val="en-US" w:eastAsia="zh-CN"/>
              </w:rPr>
              <w:t>1</w:t>
            </w:r>
          </w:p>
        </w:tc>
        <w:tc>
          <w:tcPr>
            <w:tcW w:w="173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86EAAAF">
            <w:pPr>
              <w:autoSpaceDE w:val="0"/>
              <w:autoSpaceDN w:val="0"/>
              <w:adjustRightInd w:val="0"/>
              <w:spacing w:line="360" w:lineRule="auto"/>
              <w:jc w:val="center"/>
              <w:rPr>
                <w:rFonts w:hint="eastAsia" w:ascii="宋体" w:hAnsi="宋体"/>
                <w:b/>
                <w:bCs/>
                <w:kern w:val="0"/>
                <w:sz w:val="24"/>
                <w:lang w:val="en-US" w:eastAsia="zh-CN"/>
              </w:rPr>
            </w:pPr>
            <w:r>
              <w:rPr>
                <w:rFonts w:hint="eastAsia" w:ascii="宋体" w:hAnsi="宋体"/>
                <w:b/>
                <w:bCs/>
                <w:kern w:val="0"/>
                <w:sz w:val="24"/>
                <w:lang w:val="en-US" w:eastAsia="zh-CN"/>
              </w:rPr>
              <w:t>通力</w:t>
            </w:r>
          </w:p>
        </w:tc>
        <w:tc>
          <w:tcPr>
            <w:tcW w:w="188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E9791B6">
            <w:pPr>
              <w:autoSpaceDE w:val="0"/>
              <w:autoSpaceDN w:val="0"/>
              <w:adjustRightInd w:val="0"/>
              <w:spacing w:line="360" w:lineRule="auto"/>
              <w:jc w:val="center"/>
              <w:rPr>
                <w:rFonts w:hint="eastAsia" w:ascii="宋体" w:hAnsi="宋体"/>
                <w:b/>
                <w:bCs/>
                <w:kern w:val="0"/>
                <w:sz w:val="24"/>
                <w:lang w:val="en-US" w:eastAsia="zh-CN"/>
              </w:rPr>
            </w:pPr>
            <w:r>
              <w:rPr>
                <w:rFonts w:hint="eastAsia" w:ascii="宋体" w:hAnsi="宋体"/>
                <w:b/>
                <w:bCs/>
                <w:kern w:val="0"/>
                <w:sz w:val="24"/>
                <w:lang w:val="en-US" w:eastAsia="zh-CN"/>
              </w:rPr>
              <w:t>17/17</w:t>
            </w:r>
          </w:p>
        </w:tc>
        <w:tc>
          <w:tcPr>
            <w:tcW w:w="143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BB310E9">
            <w:pPr>
              <w:autoSpaceDE w:val="0"/>
              <w:autoSpaceDN w:val="0"/>
              <w:adjustRightInd w:val="0"/>
              <w:spacing w:line="360" w:lineRule="auto"/>
              <w:jc w:val="center"/>
              <w:rPr>
                <w:rFonts w:hint="eastAsia" w:ascii="宋体" w:hAnsi="宋体"/>
                <w:b/>
                <w:bCs/>
                <w:kern w:val="0"/>
                <w:sz w:val="24"/>
                <w:lang w:val="en-US" w:eastAsia="zh-CN"/>
              </w:rPr>
            </w:pPr>
            <w:r>
              <w:rPr>
                <w:rFonts w:hint="eastAsia" w:ascii="宋体" w:hAnsi="宋体"/>
                <w:b/>
                <w:bCs/>
                <w:kern w:val="0"/>
                <w:sz w:val="24"/>
                <w:lang w:val="en-US" w:eastAsia="zh-CN"/>
              </w:rPr>
              <w:t>1600kG</w:t>
            </w:r>
          </w:p>
        </w:tc>
        <w:tc>
          <w:tcPr>
            <w:tcW w:w="144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BF1BC21">
            <w:pPr>
              <w:autoSpaceDE w:val="0"/>
              <w:autoSpaceDN w:val="0"/>
              <w:adjustRightInd w:val="0"/>
              <w:spacing w:line="360" w:lineRule="auto"/>
              <w:jc w:val="center"/>
              <w:rPr>
                <w:rFonts w:hint="eastAsia" w:ascii="宋体" w:hAnsi="宋体"/>
                <w:b/>
                <w:bCs/>
                <w:kern w:val="0"/>
                <w:sz w:val="24"/>
                <w:lang w:val="en-US" w:eastAsia="zh-CN"/>
              </w:rPr>
            </w:pPr>
            <w:r>
              <w:rPr>
                <w:rFonts w:hint="eastAsia" w:ascii="宋体" w:hAnsi="宋体"/>
                <w:b/>
                <w:bCs/>
                <w:kern w:val="0"/>
                <w:sz w:val="24"/>
                <w:lang w:val="en-US" w:eastAsia="zh-CN"/>
              </w:rPr>
              <w:t>1.75</w:t>
            </w:r>
          </w:p>
        </w:tc>
        <w:tc>
          <w:tcPr>
            <w:tcW w:w="15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0352F28">
            <w:pPr>
              <w:jc w:val="center"/>
              <w:rPr>
                <w:rFonts w:hint="eastAsia" w:ascii="宋体" w:hAnsi="宋体"/>
                <w:b/>
                <w:bCs/>
                <w:kern w:val="0"/>
                <w:sz w:val="24"/>
                <w:lang w:val="en-US" w:eastAsia="zh-CN"/>
              </w:rPr>
            </w:pPr>
            <w:r>
              <w:rPr>
                <w:rFonts w:hint="eastAsia" w:ascii="TKTypeMedium" w:hAnsi="TKTypeMedium"/>
                <w:bCs/>
                <w:szCs w:val="21"/>
              </w:rPr>
              <w:t>15</w:t>
            </w:r>
          </w:p>
        </w:tc>
        <w:tc>
          <w:tcPr>
            <w:tcW w:w="2595" w:type="dxa"/>
            <w:vMerge w:val="restart"/>
            <w:tcBorders>
              <w:top w:val="single" w:color="auto" w:sz="4" w:space="0"/>
              <w:left w:val="nil"/>
              <w:right w:val="single" w:color="auto" w:sz="4" w:space="0"/>
            </w:tcBorders>
            <w:shd w:val="clear" w:color="auto" w:fill="FFFFFF"/>
            <w:noWrap w:val="0"/>
            <w:vAlign w:val="top"/>
          </w:tcPr>
          <w:p w14:paraId="0EB5E822">
            <w:pPr>
              <w:autoSpaceDE w:val="0"/>
              <w:autoSpaceDN w:val="0"/>
              <w:adjustRightInd w:val="0"/>
              <w:spacing w:line="400" w:lineRule="exact"/>
              <w:jc w:val="both"/>
              <w:rPr>
                <w:rFonts w:hint="eastAsia" w:ascii="宋体" w:hAnsi="宋体" w:eastAsiaTheme="minorEastAsia"/>
                <w:sz w:val="24"/>
                <w:lang w:eastAsia="zh-CN"/>
              </w:rPr>
            </w:pPr>
            <w:r>
              <w:rPr>
                <w:rFonts w:hint="eastAsia" w:ascii="宋体" w:hAnsi="宋体"/>
                <w:sz w:val="24"/>
              </w:rPr>
              <w:t>负责全年365天24小时提供驻场维修保养服务</w:t>
            </w:r>
            <w:r>
              <w:rPr>
                <w:rFonts w:hint="eastAsia" w:ascii="宋体" w:hAnsi="宋体"/>
                <w:b/>
                <w:bCs/>
                <w:sz w:val="24"/>
                <w:lang w:eastAsia="zh-CN"/>
              </w:rPr>
              <w:t>【</w:t>
            </w:r>
            <w:r>
              <w:rPr>
                <w:rFonts w:hint="eastAsia" w:ascii="宋体" w:hAnsi="宋体"/>
                <w:b/>
                <w:bCs/>
                <w:sz w:val="24"/>
                <w:lang w:val="en-US" w:eastAsia="zh-CN"/>
              </w:rPr>
              <w:t>含大修工程的人工服务，不另外计算人工费</w:t>
            </w:r>
            <w:r>
              <w:rPr>
                <w:rFonts w:hint="eastAsia" w:ascii="宋体" w:hAnsi="宋体"/>
                <w:b/>
                <w:bCs/>
                <w:sz w:val="24"/>
                <w:lang w:eastAsia="zh-CN"/>
              </w:rPr>
              <w:t>】</w:t>
            </w:r>
            <w:r>
              <w:rPr>
                <w:rFonts w:hint="eastAsia" w:ascii="宋体" w:hAnsi="宋体"/>
                <w:sz w:val="24"/>
              </w:rPr>
              <w:t>，以便能及时处理电梯故障</w:t>
            </w:r>
            <w:r>
              <w:rPr>
                <w:rFonts w:hint="eastAsia" w:ascii="宋体" w:hAnsi="宋体"/>
                <w:sz w:val="24"/>
                <w:lang w:eastAsia="zh-CN"/>
              </w:rPr>
              <w:t>，</w:t>
            </w:r>
            <w:r>
              <w:rPr>
                <w:rFonts w:hint="eastAsia" w:ascii="宋体" w:hAnsi="宋体"/>
                <w:sz w:val="24"/>
              </w:rPr>
              <w:t>提供驻场人员24小时紧急救援服务热线电话</w:t>
            </w:r>
            <w:r>
              <w:rPr>
                <w:rFonts w:hint="eastAsia" w:ascii="宋体" w:hAnsi="宋体"/>
                <w:sz w:val="24"/>
                <w:lang w:eastAsia="zh-CN"/>
              </w:rPr>
              <w:t>。</w:t>
            </w:r>
          </w:p>
        </w:tc>
        <w:tc>
          <w:tcPr>
            <w:tcW w:w="1679" w:type="dxa"/>
            <w:vMerge w:val="restart"/>
            <w:tcBorders>
              <w:top w:val="single" w:color="auto" w:sz="4" w:space="0"/>
              <w:left w:val="nil"/>
              <w:right w:val="single" w:color="auto" w:sz="4" w:space="0"/>
            </w:tcBorders>
            <w:noWrap w:val="0"/>
            <w:vAlign w:val="center"/>
          </w:tcPr>
          <w:p w14:paraId="60E1BA2E">
            <w:pPr>
              <w:spacing w:line="400" w:lineRule="exact"/>
              <w:jc w:val="center"/>
              <w:rPr>
                <w:rFonts w:hint="default" w:ascii="宋体" w:hAnsi="宋体" w:eastAsiaTheme="minorEastAsia"/>
                <w:sz w:val="24"/>
                <w:lang w:val="en-US" w:eastAsia="zh-CN"/>
              </w:rPr>
            </w:pPr>
            <w:r>
              <w:rPr>
                <w:rFonts w:hint="eastAsia" w:ascii="宋体" w:hAnsi="宋体"/>
                <w:sz w:val="24"/>
                <w:lang w:val="en-US" w:eastAsia="zh-CN"/>
              </w:rPr>
              <w:t>24个月</w:t>
            </w:r>
          </w:p>
        </w:tc>
        <w:tc>
          <w:tcPr>
            <w:tcW w:w="1361" w:type="dxa"/>
            <w:tcBorders>
              <w:top w:val="single" w:color="auto" w:sz="4" w:space="0"/>
              <w:left w:val="nil"/>
              <w:bottom w:val="single" w:color="auto" w:sz="4" w:space="0"/>
              <w:right w:val="single" w:color="auto" w:sz="4" w:space="0"/>
            </w:tcBorders>
            <w:noWrap w:val="0"/>
            <w:vAlign w:val="center"/>
          </w:tcPr>
          <w:p w14:paraId="373F1830">
            <w:pPr>
              <w:spacing w:line="400" w:lineRule="exact"/>
              <w:jc w:val="center"/>
              <w:rPr>
                <w:rFonts w:ascii="宋体" w:hAnsi="宋体"/>
                <w:sz w:val="24"/>
              </w:rPr>
            </w:pPr>
          </w:p>
        </w:tc>
        <w:tc>
          <w:tcPr>
            <w:tcW w:w="1540" w:type="dxa"/>
            <w:tcBorders>
              <w:top w:val="single" w:color="auto" w:sz="4" w:space="0"/>
              <w:left w:val="nil"/>
              <w:bottom w:val="single" w:color="auto" w:sz="4" w:space="0"/>
              <w:right w:val="single" w:color="auto" w:sz="4" w:space="0"/>
            </w:tcBorders>
            <w:noWrap w:val="0"/>
            <w:vAlign w:val="center"/>
          </w:tcPr>
          <w:p w14:paraId="0A3E28C2">
            <w:pPr>
              <w:spacing w:line="400" w:lineRule="exact"/>
              <w:jc w:val="center"/>
              <w:rPr>
                <w:rFonts w:ascii="宋体" w:hAnsi="宋体"/>
                <w:sz w:val="24"/>
              </w:rPr>
            </w:pPr>
          </w:p>
        </w:tc>
      </w:tr>
      <w:tr w14:paraId="23C8B07E">
        <w:tblPrEx>
          <w:tblCellMar>
            <w:top w:w="0" w:type="dxa"/>
            <w:left w:w="0" w:type="dxa"/>
            <w:bottom w:w="0" w:type="dxa"/>
            <w:right w:w="0" w:type="dxa"/>
          </w:tblCellMar>
        </w:tblPrEx>
        <w:trPr>
          <w:trHeight w:val="397" w:hRule="atLeast"/>
          <w:jc w:val="center"/>
        </w:trPr>
        <w:tc>
          <w:tcPr>
            <w:tcW w:w="86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918BB80">
            <w:pPr>
              <w:autoSpaceDE w:val="0"/>
              <w:autoSpaceDN w:val="0"/>
              <w:adjustRightInd w:val="0"/>
              <w:spacing w:line="360" w:lineRule="auto"/>
              <w:jc w:val="center"/>
              <w:rPr>
                <w:rFonts w:hint="eastAsia" w:ascii="宋体" w:hAnsi="宋体"/>
                <w:b/>
                <w:bCs/>
                <w:kern w:val="0"/>
                <w:sz w:val="24"/>
                <w:lang w:val="en-US" w:eastAsia="zh-CN"/>
              </w:rPr>
            </w:pPr>
            <w:r>
              <w:rPr>
                <w:rFonts w:hint="eastAsia" w:ascii="宋体" w:hAnsi="宋体"/>
                <w:b/>
                <w:bCs/>
                <w:kern w:val="0"/>
                <w:sz w:val="24"/>
                <w:lang w:val="en-US" w:eastAsia="zh-CN"/>
              </w:rPr>
              <w:t>2</w:t>
            </w:r>
          </w:p>
        </w:tc>
        <w:tc>
          <w:tcPr>
            <w:tcW w:w="173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975970B">
            <w:pPr>
              <w:autoSpaceDE w:val="0"/>
              <w:autoSpaceDN w:val="0"/>
              <w:adjustRightInd w:val="0"/>
              <w:spacing w:line="360" w:lineRule="auto"/>
              <w:jc w:val="center"/>
              <w:rPr>
                <w:rFonts w:hint="eastAsia" w:ascii="宋体" w:hAnsi="宋体"/>
                <w:b/>
                <w:bCs/>
                <w:kern w:val="0"/>
                <w:sz w:val="24"/>
                <w:lang w:val="en-US" w:eastAsia="zh-CN"/>
              </w:rPr>
            </w:pPr>
            <w:r>
              <w:rPr>
                <w:rFonts w:hint="eastAsia" w:ascii="宋体" w:hAnsi="宋体"/>
                <w:b/>
                <w:bCs/>
                <w:kern w:val="0"/>
                <w:sz w:val="24"/>
                <w:lang w:val="en-US" w:eastAsia="zh-CN"/>
              </w:rPr>
              <w:t>通力</w:t>
            </w:r>
          </w:p>
        </w:tc>
        <w:tc>
          <w:tcPr>
            <w:tcW w:w="188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0E407D2">
            <w:pPr>
              <w:autoSpaceDE w:val="0"/>
              <w:autoSpaceDN w:val="0"/>
              <w:adjustRightInd w:val="0"/>
              <w:spacing w:line="360" w:lineRule="auto"/>
              <w:jc w:val="center"/>
              <w:rPr>
                <w:rFonts w:hint="eastAsia" w:ascii="宋体" w:hAnsi="宋体"/>
                <w:b/>
                <w:bCs/>
                <w:kern w:val="0"/>
                <w:sz w:val="24"/>
                <w:lang w:val="en-US" w:eastAsia="zh-CN"/>
              </w:rPr>
            </w:pPr>
            <w:r>
              <w:rPr>
                <w:rFonts w:hint="eastAsia" w:ascii="宋体" w:hAnsi="宋体"/>
                <w:b/>
                <w:bCs/>
                <w:kern w:val="0"/>
                <w:sz w:val="24"/>
                <w:lang w:val="en-US" w:eastAsia="zh-CN"/>
              </w:rPr>
              <w:t>11/11</w:t>
            </w:r>
          </w:p>
        </w:tc>
        <w:tc>
          <w:tcPr>
            <w:tcW w:w="143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6F68173">
            <w:pPr>
              <w:autoSpaceDE w:val="0"/>
              <w:autoSpaceDN w:val="0"/>
              <w:adjustRightInd w:val="0"/>
              <w:spacing w:line="360" w:lineRule="auto"/>
              <w:jc w:val="center"/>
              <w:rPr>
                <w:rFonts w:hint="eastAsia" w:ascii="宋体" w:hAnsi="宋体"/>
                <w:b/>
                <w:bCs/>
                <w:kern w:val="0"/>
                <w:sz w:val="24"/>
                <w:lang w:val="en-US" w:eastAsia="zh-CN"/>
              </w:rPr>
            </w:pPr>
            <w:r>
              <w:rPr>
                <w:rFonts w:hint="eastAsia" w:ascii="宋体" w:hAnsi="宋体"/>
                <w:b/>
                <w:bCs/>
                <w:kern w:val="0"/>
                <w:sz w:val="24"/>
                <w:lang w:val="en-US" w:eastAsia="zh-CN"/>
              </w:rPr>
              <w:t>1000KG</w:t>
            </w:r>
          </w:p>
        </w:tc>
        <w:tc>
          <w:tcPr>
            <w:tcW w:w="144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49D6DAA">
            <w:pPr>
              <w:autoSpaceDE w:val="0"/>
              <w:autoSpaceDN w:val="0"/>
              <w:adjustRightInd w:val="0"/>
              <w:spacing w:line="360" w:lineRule="auto"/>
              <w:jc w:val="center"/>
              <w:rPr>
                <w:rFonts w:hint="eastAsia" w:ascii="宋体" w:hAnsi="宋体"/>
                <w:b/>
                <w:bCs/>
                <w:kern w:val="0"/>
                <w:sz w:val="24"/>
                <w:lang w:val="en-US" w:eastAsia="zh-CN"/>
              </w:rPr>
            </w:pPr>
            <w:r>
              <w:rPr>
                <w:rFonts w:hint="eastAsia" w:ascii="宋体" w:hAnsi="宋体"/>
                <w:b/>
                <w:bCs/>
                <w:kern w:val="0"/>
                <w:sz w:val="24"/>
                <w:lang w:val="en-US" w:eastAsia="zh-CN"/>
              </w:rPr>
              <w:t>1.75</w:t>
            </w:r>
          </w:p>
        </w:tc>
        <w:tc>
          <w:tcPr>
            <w:tcW w:w="15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7943BF8">
            <w:pPr>
              <w:jc w:val="center"/>
              <w:rPr>
                <w:rFonts w:hint="eastAsia" w:ascii="宋体" w:hAnsi="宋体"/>
                <w:b/>
                <w:bCs/>
                <w:kern w:val="0"/>
                <w:sz w:val="24"/>
                <w:lang w:val="en-US" w:eastAsia="zh-CN"/>
              </w:rPr>
            </w:pPr>
            <w:r>
              <w:rPr>
                <w:rFonts w:ascii="TKTypeMedium" w:hAnsi="TKTypeMedium"/>
                <w:bCs/>
                <w:szCs w:val="21"/>
              </w:rPr>
              <w:t>6</w:t>
            </w:r>
          </w:p>
        </w:tc>
        <w:tc>
          <w:tcPr>
            <w:tcW w:w="2595" w:type="dxa"/>
            <w:vMerge w:val="continue"/>
            <w:tcBorders>
              <w:left w:val="nil"/>
              <w:right w:val="single" w:color="auto" w:sz="4" w:space="0"/>
            </w:tcBorders>
            <w:shd w:val="clear" w:color="auto" w:fill="FFFFFF"/>
            <w:noWrap w:val="0"/>
            <w:vAlign w:val="center"/>
          </w:tcPr>
          <w:p w14:paraId="3C62F2EA">
            <w:pPr>
              <w:autoSpaceDE w:val="0"/>
              <w:autoSpaceDN w:val="0"/>
              <w:adjustRightInd w:val="0"/>
              <w:spacing w:line="360" w:lineRule="auto"/>
              <w:jc w:val="center"/>
              <w:rPr>
                <w:rFonts w:ascii="宋体" w:hAnsi="宋体"/>
                <w:sz w:val="24"/>
              </w:rPr>
            </w:pPr>
          </w:p>
        </w:tc>
        <w:tc>
          <w:tcPr>
            <w:tcW w:w="1679" w:type="dxa"/>
            <w:vMerge w:val="continue"/>
            <w:tcBorders>
              <w:left w:val="nil"/>
              <w:right w:val="single" w:color="auto" w:sz="4" w:space="0"/>
            </w:tcBorders>
            <w:noWrap w:val="0"/>
            <w:vAlign w:val="center"/>
          </w:tcPr>
          <w:p w14:paraId="3504078B">
            <w:pPr>
              <w:spacing w:line="230" w:lineRule="exact"/>
              <w:jc w:val="center"/>
              <w:rPr>
                <w:rFonts w:hint="default" w:ascii="宋体" w:hAnsi="宋体" w:eastAsiaTheme="minorEastAsia"/>
                <w:sz w:val="24"/>
                <w:lang w:val="en-US" w:eastAsia="zh-CN"/>
              </w:rPr>
            </w:pPr>
          </w:p>
        </w:tc>
        <w:tc>
          <w:tcPr>
            <w:tcW w:w="1361" w:type="dxa"/>
            <w:tcBorders>
              <w:top w:val="single" w:color="auto" w:sz="4" w:space="0"/>
              <w:left w:val="nil"/>
              <w:bottom w:val="single" w:color="auto" w:sz="4" w:space="0"/>
              <w:right w:val="single" w:color="auto" w:sz="4" w:space="0"/>
            </w:tcBorders>
            <w:noWrap w:val="0"/>
            <w:vAlign w:val="center"/>
          </w:tcPr>
          <w:p w14:paraId="0FDBE87B">
            <w:pPr>
              <w:spacing w:line="230" w:lineRule="exact"/>
              <w:jc w:val="center"/>
              <w:rPr>
                <w:rFonts w:ascii="宋体" w:hAnsi="宋体"/>
                <w:sz w:val="24"/>
              </w:rPr>
            </w:pPr>
          </w:p>
        </w:tc>
        <w:tc>
          <w:tcPr>
            <w:tcW w:w="1540" w:type="dxa"/>
            <w:tcBorders>
              <w:top w:val="single" w:color="auto" w:sz="4" w:space="0"/>
              <w:left w:val="nil"/>
              <w:bottom w:val="single" w:color="auto" w:sz="4" w:space="0"/>
              <w:right w:val="single" w:color="auto" w:sz="4" w:space="0"/>
            </w:tcBorders>
            <w:noWrap w:val="0"/>
            <w:vAlign w:val="center"/>
          </w:tcPr>
          <w:p w14:paraId="0939160D">
            <w:pPr>
              <w:spacing w:line="230" w:lineRule="exact"/>
              <w:jc w:val="center"/>
              <w:rPr>
                <w:rFonts w:ascii="宋体" w:hAnsi="宋体"/>
                <w:sz w:val="24"/>
              </w:rPr>
            </w:pPr>
          </w:p>
        </w:tc>
      </w:tr>
      <w:tr w14:paraId="51FD8003">
        <w:tblPrEx>
          <w:tblCellMar>
            <w:top w:w="0" w:type="dxa"/>
            <w:left w:w="0" w:type="dxa"/>
            <w:bottom w:w="0" w:type="dxa"/>
            <w:right w:w="0" w:type="dxa"/>
          </w:tblCellMar>
        </w:tblPrEx>
        <w:trPr>
          <w:trHeight w:val="397" w:hRule="atLeast"/>
          <w:jc w:val="center"/>
        </w:trPr>
        <w:tc>
          <w:tcPr>
            <w:tcW w:w="86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654EC78">
            <w:pPr>
              <w:autoSpaceDE w:val="0"/>
              <w:autoSpaceDN w:val="0"/>
              <w:adjustRightInd w:val="0"/>
              <w:spacing w:line="360" w:lineRule="auto"/>
              <w:jc w:val="center"/>
              <w:rPr>
                <w:rFonts w:hint="default" w:ascii="宋体" w:hAnsi="宋体"/>
                <w:b/>
                <w:bCs/>
                <w:kern w:val="0"/>
                <w:sz w:val="24"/>
                <w:lang w:val="en-US" w:eastAsia="zh-CN"/>
              </w:rPr>
            </w:pPr>
            <w:r>
              <w:rPr>
                <w:rFonts w:hint="eastAsia" w:ascii="宋体" w:hAnsi="宋体"/>
                <w:b/>
                <w:bCs/>
                <w:kern w:val="0"/>
                <w:sz w:val="24"/>
                <w:lang w:val="en-US" w:eastAsia="zh-CN"/>
              </w:rPr>
              <w:t>3</w:t>
            </w:r>
          </w:p>
        </w:tc>
        <w:tc>
          <w:tcPr>
            <w:tcW w:w="173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DC1E987">
            <w:pPr>
              <w:autoSpaceDE w:val="0"/>
              <w:autoSpaceDN w:val="0"/>
              <w:adjustRightInd w:val="0"/>
              <w:spacing w:line="360" w:lineRule="auto"/>
              <w:jc w:val="center"/>
              <w:rPr>
                <w:rFonts w:hint="eastAsia" w:ascii="宋体" w:hAnsi="宋体"/>
                <w:b/>
                <w:bCs/>
                <w:kern w:val="0"/>
                <w:sz w:val="24"/>
                <w:lang w:val="en-US" w:eastAsia="zh-CN"/>
              </w:rPr>
            </w:pPr>
            <w:r>
              <w:rPr>
                <w:rFonts w:hint="eastAsia" w:ascii="宋体" w:hAnsi="宋体"/>
                <w:b/>
                <w:bCs/>
                <w:kern w:val="0"/>
                <w:sz w:val="24"/>
                <w:lang w:val="en-US" w:eastAsia="zh-CN"/>
              </w:rPr>
              <w:t>通力</w:t>
            </w:r>
          </w:p>
        </w:tc>
        <w:tc>
          <w:tcPr>
            <w:tcW w:w="188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36BC602">
            <w:pPr>
              <w:autoSpaceDE w:val="0"/>
              <w:autoSpaceDN w:val="0"/>
              <w:adjustRightInd w:val="0"/>
              <w:spacing w:line="360" w:lineRule="auto"/>
              <w:jc w:val="center"/>
              <w:rPr>
                <w:rFonts w:hint="eastAsia" w:ascii="宋体" w:hAnsi="宋体"/>
                <w:b/>
                <w:bCs/>
                <w:kern w:val="0"/>
                <w:sz w:val="24"/>
                <w:lang w:val="en-US" w:eastAsia="zh-CN"/>
              </w:rPr>
            </w:pPr>
            <w:r>
              <w:rPr>
                <w:rFonts w:hint="eastAsia" w:ascii="宋体" w:hAnsi="宋体"/>
                <w:b/>
                <w:bCs/>
                <w:kern w:val="0"/>
                <w:sz w:val="24"/>
                <w:lang w:val="en-US" w:eastAsia="zh-CN"/>
              </w:rPr>
              <w:t>6/6</w:t>
            </w:r>
          </w:p>
        </w:tc>
        <w:tc>
          <w:tcPr>
            <w:tcW w:w="143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DB6856E">
            <w:pPr>
              <w:autoSpaceDE w:val="0"/>
              <w:autoSpaceDN w:val="0"/>
              <w:adjustRightInd w:val="0"/>
              <w:spacing w:line="360" w:lineRule="auto"/>
              <w:jc w:val="center"/>
              <w:rPr>
                <w:rFonts w:hint="eastAsia" w:ascii="宋体" w:hAnsi="宋体"/>
                <w:b/>
                <w:bCs/>
                <w:kern w:val="0"/>
                <w:sz w:val="24"/>
                <w:lang w:val="en-US" w:eastAsia="zh-CN"/>
              </w:rPr>
            </w:pPr>
            <w:r>
              <w:rPr>
                <w:rFonts w:hint="eastAsia" w:ascii="宋体" w:hAnsi="宋体"/>
                <w:b/>
                <w:bCs/>
                <w:kern w:val="0"/>
                <w:sz w:val="24"/>
                <w:lang w:val="en-US" w:eastAsia="zh-CN"/>
              </w:rPr>
              <w:t>1000KG</w:t>
            </w:r>
          </w:p>
        </w:tc>
        <w:tc>
          <w:tcPr>
            <w:tcW w:w="144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5A0962B">
            <w:pPr>
              <w:autoSpaceDE w:val="0"/>
              <w:autoSpaceDN w:val="0"/>
              <w:adjustRightInd w:val="0"/>
              <w:spacing w:line="360" w:lineRule="auto"/>
              <w:jc w:val="center"/>
              <w:rPr>
                <w:rFonts w:hint="eastAsia" w:ascii="宋体" w:hAnsi="宋体"/>
                <w:b/>
                <w:bCs/>
                <w:kern w:val="0"/>
                <w:sz w:val="24"/>
                <w:lang w:val="en-US" w:eastAsia="zh-CN"/>
              </w:rPr>
            </w:pPr>
            <w:r>
              <w:rPr>
                <w:rFonts w:hint="eastAsia" w:ascii="宋体" w:hAnsi="宋体"/>
                <w:b/>
                <w:bCs/>
                <w:kern w:val="0"/>
                <w:sz w:val="24"/>
                <w:lang w:val="en-US" w:eastAsia="zh-CN"/>
              </w:rPr>
              <w:t>1.6</w:t>
            </w:r>
          </w:p>
        </w:tc>
        <w:tc>
          <w:tcPr>
            <w:tcW w:w="15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CEBEB2E">
            <w:pPr>
              <w:jc w:val="center"/>
              <w:rPr>
                <w:rFonts w:hint="eastAsia" w:ascii="宋体" w:hAnsi="宋体" w:eastAsiaTheme="minorEastAsia"/>
                <w:b/>
                <w:bCs/>
                <w:kern w:val="0"/>
                <w:sz w:val="24"/>
                <w:lang w:val="en-US" w:eastAsia="zh-CN"/>
              </w:rPr>
            </w:pPr>
            <w:r>
              <w:rPr>
                <w:rFonts w:hint="eastAsia" w:ascii="TKTypeMedium" w:hAnsi="TKTypeMedium"/>
                <w:bCs/>
                <w:szCs w:val="21"/>
                <w:lang w:val="en-US" w:eastAsia="zh-CN"/>
              </w:rPr>
              <w:t>4</w:t>
            </w:r>
          </w:p>
        </w:tc>
        <w:tc>
          <w:tcPr>
            <w:tcW w:w="2595" w:type="dxa"/>
            <w:vMerge w:val="continue"/>
            <w:tcBorders>
              <w:left w:val="nil"/>
              <w:right w:val="single" w:color="auto" w:sz="4" w:space="0"/>
            </w:tcBorders>
            <w:shd w:val="clear" w:color="auto" w:fill="FFFFFF"/>
            <w:noWrap w:val="0"/>
            <w:vAlign w:val="center"/>
          </w:tcPr>
          <w:p w14:paraId="1AC84957">
            <w:pPr>
              <w:autoSpaceDE w:val="0"/>
              <w:autoSpaceDN w:val="0"/>
              <w:adjustRightInd w:val="0"/>
              <w:spacing w:line="360" w:lineRule="auto"/>
              <w:jc w:val="center"/>
              <w:rPr>
                <w:rFonts w:ascii="宋体" w:hAnsi="宋体"/>
                <w:sz w:val="24"/>
              </w:rPr>
            </w:pPr>
          </w:p>
        </w:tc>
        <w:tc>
          <w:tcPr>
            <w:tcW w:w="1679" w:type="dxa"/>
            <w:vMerge w:val="continue"/>
            <w:tcBorders>
              <w:left w:val="nil"/>
              <w:right w:val="single" w:color="auto" w:sz="4" w:space="0"/>
            </w:tcBorders>
            <w:noWrap w:val="0"/>
            <w:vAlign w:val="center"/>
          </w:tcPr>
          <w:p w14:paraId="2CF93CE8">
            <w:pPr>
              <w:spacing w:line="230" w:lineRule="exact"/>
              <w:jc w:val="center"/>
              <w:rPr>
                <w:rFonts w:hint="eastAsia" w:ascii="宋体" w:hAnsi="宋体"/>
                <w:sz w:val="24"/>
                <w:lang w:val="en-US" w:eastAsia="zh-CN"/>
              </w:rPr>
            </w:pPr>
          </w:p>
        </w:tc>
        <w:tc>
          <w:tcPr>
            <w:tcW w:w="1361" w:type="dxa"/>
            <w:tcBorders>
              <w:top w:val="single" w:color="auto" w:sz="4" w:space="0"/>
              <w:left w:val="nil"/>
              <w:bottom w:val="single" w:color="auto" w:sz="4" w:space="0"/>
              <w:right w:val="single" w:color="auto" w:sz="4" w:space="0"/>
            </w:tcBorders>
            <w:noWrap w:val="0"/>
            <w:vAlign w:val="center"/>
          </w:tcPr>
          <w:p w14:paraId="7A6B251F">
            <w:pPr>
              <w:spacing w:line="230" w:lineRule="exact"/>
              <w:jc w:val="center"/>
              <w:rPr>
                <w:rFonts w:ascii="宋体" w:hAnsi="宋体"/>
                <w:sz w:val="24"/>
              </w:rPr>
            </w:pPr>
          </w:p>
        </w:tc>
        <w:tc>
          <w:tcPr>
            <w:tcW w:w="1540" w:type="dxa"/>
            <w:tcBorders>
              <w:top w:val="single" w:color="auto" w:sz="4" w:space="0"/>
              <w:left w:val="nil"/>
              <w:bottom w:val="single" w:color="auto" w:sz="4" w:space="0"/>
              <w:right w:val="single" w:color="auto" w:sz="4" w:space="0"/>
            </w:tcBorders>
            <w:noWrap w:val="0"/>
            <w:vAlign w:val="center"/>
          </w:tcPr>
          <w:p w14:paraId="268A4D5C">
            <w:pPr>
              <w:spacing w:line="230" w:lineRule="exact"/>
              <w:jc w:val="center"/>
              <w:rPr>
                <w:rFonts w:ascii="宋体" w:hAnsi="宋体"/>
                <w:sz w:val="24"/>
              </w:rPr>
            </w:pPr>
          </w:p>
        </w:tc>
      </w:tr>
      <w:tr w14:paraId="0984151B">
        <w:tblPrEx>
          <w:tblCellMar>
            <w:top w:w="0" w:type="dxa"/>
            <w:left w:w="0" w:type="dxa"/>
            <w:bottom w:w="0" w:type="dxa"/>
            <w:right w:w="0" w:type="dxa"/>
          </w:tblCellMar>
        </w:tblPrEx>
        <w:trPr>
          <w:trHeight w:val="397" w:hRule="atLeast"/>
          <w:jc w:val="center"/>
        </w:trPr>
        <w:tc>
          <w:tcPr>
            <w:tcW w:w="86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8212200">
            <w:pPr>
              <w:autoSpaceDE w:val="0"/>
              <w:autoSpaceDN w:val="0"/>
              <w:adjustRightInd w:val="0"/>
              <w:spacing w:line="360" w:lineRule="auto"/>
              <w:jc w:val="center"/>
              <w:rPr>
                <w:rFonts w:hint="default" w:ascii="宋体" w:hAnsi="宋体"/>
                <w:b/>
                <w:bCs/>
                <w:kern w:val="0"/>
                <w:sz w:val="24"/>
                <w:lang w:val="en-US" w:eastAsia="zh-CN"/>
              </w:rPr>
            </w:pPr>
            <w:r>
              <w:rPr>
                <w:rFonts w:hint="eastAsia" w:ascii="宋体" w:hAnsi="宋体"/>
                <w:b/>
                <w:bCs/>
                <w:kern w:val="0"/>
                <w:sz w:val="24"/>
                <w:lang w:val="en-US" w:eastAsia="zh-CN"/>
              </w:rPr>
              <w:t>4</w:t>
            </w:r>
          </w:p>
        </w:tc>
        <w:tc>
          <w:tcPr>
            <w:tcW w:w="173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1141492">
            <w:pPr>
              <w:autoSpaceDE w:val="0"/>
              <w:autoSpaceDN w:val="0"/>
              <w:adjustRightInd w:val="0"/>
              <w:spacing w:line="360" w:lineRule="auto"/>
              <w:jc w:val="center"/>
              <w:rPr>
                <w:rFonts w:hint="eastAsia" w:ascii="宋体" w:hAnsi="宋体"/>
                <w:b/>
                <w:bCs/>
                <w:kern w:val="0"/>
                <w:sz w:val="24"/>
                <w:lang w:val="en-US" w:eastAsia="zh-CN"/>
              </w:rPr>
            </w:pPr>
            <w:r>
              <w:rPr>
                <w:rFonts w:hint="eastAsia" w:ascii="宋体" w:hAnsi="宋体"/>
                <w:b/>
                <w:bCs/>
                <w:kern w:val="0"/>
                <w:sz w:val="24"/>
                <w:lang w:val="en-US" w:eastAsia="zh-CN"/>
              </w:rPr>
              <w:t>通力</w:t>
            </w:r>
          </w:p>
        </w:tc>
        <w:tc>
          <w:tcPr>
            <w:tcW w:w="188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4A15FE5">
            <w:pPr>
              <w:autoSpaceDE w:val="0"/>
              <w:autoSpaceDN w:val="0"/>
              <w:adjustRightInd w:val="0"/>
              <w:spacing w:line="360" w:lineRule="auto"/>
              <w:jc w:val="center"/>
              <w:rPr>
                <w:rFonts w:hint="eastAsia" w:ascii="宋体" w:hAnsi="宋体"/>
                <w:b/>
                <w:bCs/>
                <w:kern w:val="0"/>
                <w:sz w:val="24"/>
                <w:lang w:val="en-US" w:eastAsia="zh-CN"/>
              </w:rPr>
            </w:pPr>
            <w:r>
              <w:rPr>
                <w:rFonts w:hint="eastAsia" w:ascii="宋体" w:hAnsi="宋体"/>
                <w:b/>
                <w:bCs/>
                <w:kern w:val="0"/>
                <w:sz w:val="24"/>
                <w:lang w:val="en-US" w:eastAsia="zh-CN"/>
              </w:rPr>
              <w:t>扶梯</w:t>
            </w:r>
          </w:p>
        </w:tc>
        <w:tc>
          <w:tcPr>
            <w:tcW w:w="143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E476942">
            <w:pPr>
              <w:autoSpaceDE w:val="0"/>
              <w:autoSpaceDN w:val="0"/>
              <w:adjustRightInd w:val="0"/>
              <w:spacing w:line="360" w:lineRule="auto"/>
              <w:jc w:val="center"/>
              <w:rPr>
                <w:rFonts w:hint="eastAsia" w:ascii="宋体" w:hAnsi="宋体"/>
                <w:b/>
                <w:bCs/>
                <w:kern w:val="0"/>
                <w:sz w:val="24"/>
                <w:lang w:val="en-US" w:eastAsia="zh-CN"/>
              </w:rPr>
            </w:pPr>
            <w:r>
              <w:rPr>
                <w:rFonts w:hint="eastAsia" w:ascii="宋体" w:hAnsi="宋体"/>
                <w:b/>
                <w:bCs/>
                <w:kern w:val="0"/>
                <w:sz w:val="24"/>
                <w:lang w:val="en-US" w:eastAsia="zh-CN"/>
              </w:rPr>
              <w:t>6000p/h</w:t>
            </w:r>
          </w:p>
        </w:tc>
        <w:tc>
          <w:tcPr>
            <w:tcW w:w="144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4D5FA5A">
            <w:pPr>
              <w:autoSpaceDE w:val="0"/>
              <w:autoSpaceDN w:val="0"/>
              <w:adjustRightInd w:val="0"/>
              <w:spacing w:line="360" w:lineRule="auto"/>
              <w:jc w:val="center"/>
              <w:rPr>
                <w:rFonts w:hint="eastAsia" w:ascii="宋体" w:hAnsi="宋体"/>
                <w:b/>
                <w:bCs/>
                <w:kern w:val="0"/>
                <w:sz w:val="24"/>
                <w:lang w:val="en-US" w:eastAsia="zh-CN"/>
              </w:rPr>
            </w:pPr>
            <w:r>
              <w:rPr>
                <w:rFonts w:hint="eastAsia" w:ascii="宋体" w:hAnsi="宋体"/>
                <w:b/>
                <w:bCs/>
                <w:kern w:val="0"/>
                <w:sz w:val="24"/>
                <w:lang w:val="en-US" w:eastAsia="zh-CN"/>
              </w:rPr>
              <w:t>0.5</w:t>
            </w:r>
          </w:p>
        </w:tc>
        <w:tc>
          <w:tcPr>
            <w:tcW w:w="15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8AA1861">
            <w:pPr>
              <w:jc w:val="center"/>
              <w:rPr>
                <w:rFonts w:hint="eastAsia" w:ascii="宋体" w:hAnsi="宋体"/>
                <w:b/>
                <w:bCs/>
                <w:kern w:val="0"/>
                <w:sz w:val="24"/>
                <w:lang w:val="en-US" w:eastAsia="zh-CN"/>
              </w:rPr>
            </w:pPr>
            <w:r>
              <w:rPr>
                <w:rFonts w:hint="eastAsia" w:ascii="TKTypeMedium" w:hAnsi="TKTypeMedium"/>
                <w:bCs/>
                <w:szCs w:val="21"/>
              </w:rPr>
              <w:t>6</w:t>
            </w:r>
          </w:p>
        </w:tc>
        <w:tc>
          <w:tcPr>
            <w:tcW w:w="2595" w:type="dxa"/>
            <w:vMerge w:val="continue"/>
            <w:tcBorders>
              <w:left w:val="nil"/>
              <w:right w:val="single" w:color="auto" w:sz="4" w:space="0"/>
            </w:tcBorders>
            <w:shd w:val="clear" w:color="auto" w:fill="FFFFFF"/>
            <w:noWrap w:val="0"/>
            <w:vAlign w:val="center"/>
          </w:tcPr>
          <w:p w14:paraId="20E06E24">
            <w:pPr>
              <w:autoSpaceDE w:val="0"/>
              <w:autoSpaceDN w:val="0"/>
              <w:adjustRightInd w:val="0"/>
              <w:spacing w:line="360" w:lineRule="auto"/>
              <w:jc w:val="center"/>
              <w:rPr>
                <w:rFonts w:ascii="宋体" w:hAnsi="宋体"/>
                <w:sz w:val="24"/>
              </w:rPr>
            </w:pPr>
          </w:p>
        </w:tc>
        <w:tc>
          <w:tcPr>
            <w:tcW w:w="1679" w:type="dxa"/>
            <w:vMerge w:val="continue"/>
            <w:tcBorders>
              <w:left w:val="nil"/>
              <w:right w:val="single" w:color="auto" w:sz="4" w:space="0"/>
            </w:tcBorders>
            <w:noWrap w:val="0"/>
            <w:vAlign w:val="center"/>
          </w:tcPr>
          <w:p w14:paraId="1A41D9D6">
            <w:pPr>
              <w:spacing w:line="230" w:lineRule="exact"/>
              <w:jc w:val="center"/>
              <w:rPr>
                <w:rFonts w:hint="eastAsia" w:ascii="宋体" w:hAnsi="宋体"/>
                <w:sz w:val="24"/>
                <w:lang w:val="en-US" w:eastAsia="zh-CN"/>
              </w:rPr>
            </w:pPr>
          </w:p>
        </w:tc>
        <w:tc>
          <w:tcPr>
            <w:tcW w:w="1361" w:type="dxa"/>
            <w:tcBorders>
              <w:top w:val="single" w:color="auto" w:sz="4" w:space="0"/>
              <w:left w:val="nil"/>
              <w:bottom w:val="single" w:color="auto" w:sz="4" w:space="0"/>
              <w:right w:val="single" w:color="auto" w:sz="4" w:space="0"/>
            </w:tcBorders>
            <w:noWrap w:val="0"/>
            <w:vAlign w:val="center"/>
          </w:tcPr>
          <w:p w14:paraId="5314C56F">
            <w:pPr>
              <w:spacing w:line="230" w:lineRule="exact"/>
              <w:jc w:val="center"/>
              <w:rPr>
                <w:rFonts w:ascii="宋体" w:hAnsi="宋体"/>
                <w:sz w:val="24"/>
              </w:rPr>
            </w:pPr>
          </w:p>
        </w:tc>
        <w:tc>
          <w:tcPr>
            <w:tcW w:w="1540" w:type="dxa"/>
            <w:tcBorders>
              <w:top w:val="single" w:color="auto" w:sz="4" w:space="0"/>
              <w:left w:val="nil"/>
              <w:bottom w:val="single" w:color="auto" w:sz="4" w:space="0"/>
              <w:right w:val="single" w:color="auto" w:sz="4" w:space="0"/>
            </w:tcBorders>
            <w:noWrap w:val="0"/>
            <w:vAlign w:val="center"/>
          </w:tcPr>
          <w:p w14:paraId="0F63EDD0">
            <w:pPr>
              <w:spacing w:line="230" w:lineRule="exact"/>
              <w:jc w:val="center"/>
              <w:rPr>
                <w:rFonts w:ascii="宋体" w:hAnsi="宋体"/>
                <w:sz w:val="24"/>
              </w:rPr>
            </w:pPr>
          </w:p>
        </w:tc>
      </w:tr>
      <w:tr w14:paraId="30815CD8">
        <w:tblPrEx>
          <w:tblCellMar>
            <w:top w:w="0" w:type="dxa"/>
            <w:left w:w="0" w:type="dxa"/>
            <w:bottom w:w="0" w:type="dxa"/>
            <w:right w:w="0" w:type="dxa"/>
          </w:tblCellMar>
        </w:tblPrEx>
        <w:trPr>
          <w:trHeight w:val="397" w:hRule="atLeast"/>
          <w:jc w:val="center"/>
        </w:trPr>
        <w:tc>
          <w:tcPr>
            <w:tcW w:w="86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1B47DD9">
            <w:pPr>
              <w:autoSpaceDE w:val="0"/>
              <w:autoSpaceDN w:val="0"/>
              <w:adjustRightInd w:val="0"/>
              <w:spacing w:line="360" w:lineRule="auto"/>
              <w:jc w:val="center"/>
              <w:rPr>
                <w:rFonts w:hint="default" w:ascii="宋体" w:hAnsi="宋体"/>
                <w:b/>
                <w:bCs/>
                <w:kern w:val="0"/>
                <w:sz w:val="24"/>
                <w:lang w:val="en-US" w:eastAsia="zh-CN"/>
              </w:rPr>
            </w:pPr>
            <w:r>
              <w:rPr>
                <w:rFonts w:hint="eastAsia" w:ascii="宋体" w:hAnsi="宋体"/>
                <w:b/>
                <w:bCs/>
                <w:kern w:val="0"/>
                <w:sz w:val="24"/>
                <w:lang w:val="en-US" w:eastAsia="zh-CN"/>
              </w:rPr>
              <w:t>5</w:t>
            </w:r>
          </w:p>
        </w:tc>
        <w:tc>
          <w:tcPr>
            <w:tcW w:w="173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040F297">
            <w:pPr>
              <w:autoSpaceDE w:val="0"/>
              <w:autoSpaceDN w:val="0"/>
              <w:adjustRightInd w:val="0"/>
              <w:spacing w:line="360" w:lineRule="auto"/>
              <w:jc w:val="center"/>
              <w:rPr>
                <w:rFonts w:hint="eastAsia" w:ascii="宋体" w:hAnsi="宋体"/>
                <w:b/>
                <w:bCs/>
                <w:kern w:val="0"/>
                <w:sz w:val="24"/>
                <w:lang w:val="en-US" w:eastAsia="zh-CN"/>
              </w:rPr>
            </w:pPr>
            <w:r>
              <w:rPr>
                <w:rFonts w:hint="eastAsia" w:ascii="宋体" w:hAnsi="宋体"/>
                <w:b/>
                <w:bCs/>
                <w:kern w:val="0"/>
                <w:sz w:val="24"/>
                <w:lang w:val="en-US" w:eastAsia="zh-CN"/>
              </w:rPr>
              <w:t>通力</w:t>
            </w:r>
          </w:p>
        </w:tc>
        <w:tc>
          <w:tcPr>
            <w:tcW w:w="188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5BD42C1">
            <w:pPr>
              <w:autoSpaceDE w:val="0"/>
              <w:autoSpaceDN w:val="0"/>
              <w:adjustRightInd w:val="0"/>
              <w:spacing w:line="360" w:lineRule="auto"/>
              <w:jc w:val="center"/>
              <w:rPr>
                <w:rFonts w:hint="eastAsia" w:ascii="宋体" w:hAnsi="宋体"/>
                <w:b/>
                <w:bCs/>
                <w:kern w:val="0"/>
                <w:sz w:val="24"/>
                <w:lang w:val="en-US" w:eastAsia="zh-CN"/>
              </w:rPr>
            </w:pPr>
            <w:r>
              <w:rPr>
                <w:rFonts w:hint="eastAsia" w:ascii="宋体" w:hAnsi="宋体"/>
                <w:b/>
                <w:bCs/>
                <w:kern w:val="0"/>
                <w:sz w:val="24"/>
                <w:lang w:val="en-US" w:eastAsia="zh-CN"/>
              </w:rPr>
              <w:t>17/17</w:t>
            </w:r>
          </w:p>
        </w:tc>
        <w:tc>
          <w:tcPr>
            <w:tcW w:w="143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1DEFC71">
            <w:pPr>
              <w:autoSpaceDE w:val="0"/>
              <w:autoSpaceDN w:val="0"/>
              <w:adjustRightInd w:val="0"/>
              <w:spacing w:line="360" w:lineRule="auto"/>
              <w:jc w:val="center"/>
              <w:rPr>
                <w:rFonts w:hint="eastAsia" w:ascii="宋体" w:hAnsi="宋体"/>
                <w:b/>
                <w:bCs/>
                <w:kern w:val="0"/>
                <w:sz w:val="24"/>
                <w:lang w:val="en-US" w:eastAsia="zh-CN"/>
              </w:rPr>
            </w:pPr>
            <w:r>
              <w:rPr>
                <w:rFonts w:hint="eastAsia" w:ascii="宋体" w:hAnsi="宋体"/>
                <w:b/>
                <w:bCs/>
                <w:kern w:val="0"/>
                <w:sz w:val="24"/>
                <w:lang w:val="en-US" w:eastAsia="zh-CN"/>
              </w:rPr>
              <w:t>1000KG</w:t>
            </w:r>
          </w:p>
        </w:tc>
        <w:tc>
          <w:tcPr>
            <w:tcW w:w="144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87146D4">
            <w:pPr>
              <w:autoSpaceDE w:val="0"/>
              <w:autoSpaceDN w:val="0"/>
              <w:adjustRightInd w:val="0"/>
              <w:spacing w:line="360" w:lineRule="auto"/>
              <w:jc w:val="center"/>
              <w:rPr>
                <w:rFonts w:hint="eastAsia" w:ascii="宋体" w:hAnsi="宋体"/>
                <w:b/>
                <w:bCs/>
                <w:kern w:val="0"/>
                <w:sz w:val="24"/>
                <w:lang w:val="en-US" w:eastAsia="zh-CN"/>
              </w:rPr>
            </w:pPr>
            <w:r>
              <w:rPr>
                <w:rFonts w:hint="eastAsia" w:ascii="宋体" w:hAnsi="宋体"/>
                <w:b/>
                <w:bCs/>
                <w:kern w:val="0"/>
                <w:sz w:val="24"/>
                <w:lang w:val="en-US" w:eastAsia="zh-CN"/>
              </w:rPr>
              <w:t>2</w:t>
            </w:r>
          </w:p>
        </w:tc>
        <w:tc>
          <w:tcPr>
            <w:tcW w:w="15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0EC1B6E">
            <w:pPr>
              <w:jc w:val="center"/>
              <w:rPr>
                <w:rFonts w:hint="eastAsia" w:ascii="宋体" w:hAnsi="宋体"/>
                <w:b/>
                <w:bCs/>
                <w:kern w:val="0"/>
                <w:sz w:val="24"/>
                <w:lang w:val="en-US" w:eastAsia="zh-CN"/>
              </w:rPr>
            </w:pPr>
            <w:r>
              <w:rPr>
                <w:rFonts w:hint="eastAsia" w:ascii="TKTypeMedium" w:hAnsi="TKTypeMedium"/>
                <w:bCs/>
                <w:color w:val="000000"/>
                <w:szCs w:val="21"/>
              </w:rPr>
              <w:t>2</w:t>
            </w:r>
          </w:p>
        </w:tc>
        <w:tc>
          <w:tcPr>
            <w:tcW w:w="2595" w:type="dxa"/>
            <w:vMerge w:val="continue"/>
            <w:tcBorders>
              <w:left w:val="nil"/>
              <w:right w:val="single" w:color="auto" w:sz="4" w:space="0"/>
            </w:tcBorders>
            <w:shd w:val="clear" w:color="auto" w:fill="FFFFFF"/>
            <w:noWrap w:val="0"/>
            <w:vAlign w:val="center"/>
          </w:tcPr>
          <w:p w14:paraId="67751E52">
            <w:pPr>
              <w:autoSpaceDE w:val="0"/>
              <w:autoSpaceDN w:val="0"/>
              <w:adjustRightInd w:val="0"/>
              <w:spacing w:line="360" w:lineRule="auto"/>
              <w:jc w:val="center"/>
              <w:rPr>
                <w:rFonts w:ascii="宋体" w:hAnsi="宋体"/>
                <w:sz w:val="24"/>
              </w:rPr>
            </w:pPr>
          </w:p>
        </w:tc>
        <w:tc>
          <w:tcPr>
            <w:tcW w:w="1679" w:type="dxa"/>
            <w:vMerge w:val="continue"/>
            <w:tcBorders>
              <w:left w:val="nil"/>
              <w:right w:val="single" w:color="auto" w:sz="4" w:space="0"/>
            </w:tcBorders>
            <w:noWrap w:val="0"/>
            <w:vAlign w:val="center"/>
          </w:tcPr>
          <w:p w14:paraId="630ABEF4">
            <w:pPr>
              <w:spacing w:line="230" w:lineRule="exact"/>
              <w:jc w:val="center"/>
              <w:rPr>
                <w:rFonts w:hint="eastAsia" w:ascii="宋体" w:hAnsi="宋体"/>
                <w:sz w:val="24"/>
                <w:lang w:val="en-US" w:eastAsia="zh-CN"/>
              </w:rPr>
            </w:pPr>
          </w:p>
        </w:tc>
        <w:tc>
          <w:tcPr>
            <w:tcW w:w="1361" w:type="dxa"/>
            <w:tcBorders>
              <w:top w:val="single" w:color="auto" w:sz="4" w:space="0"/>
              <w:left w:val="nil"/>
              <w:bottom w:val="single" w:color="auto" w:sz="4" w:space="0"/>
              <w:right w:val="single" w:color="auto" w:sz="4" w:space="0"/>
            </w:tcBorders>
            <w:noWrap w:val="0"/>
            <w:vAlign w:val="center"/>
          </w:tcPr>
          <w:p w14:paraId="54496C94">
            <w:pPr>
              <w:spacing w:line="230" w:lineRule="exact"/>
              <w:jc w:val="center"/>
              <w:rPr>
                <w:rFonts w:ascii="宋体" w:hAnsi="宋体"/>
                <w:sz w:val="24"/>
              </w:rPr>
            </w:pPr>
          </w:p>
        </w:tc>
        <w:tc>
          <w:tcPr>
            <w:tcW w:w="1540" w:type="dxa"/>
            <w:tcBorders>
              <w:top w:val="single" w:color="auto" w:sz="4" w:space="0"/>
              <w:left w:val="nil"/>
              <w:bottom w:val="single" w:color="auto" w:sz="4" w:space="0"/>
              <w:right w:val="single" w:color="auto" w:sz="4" w:space="0"/>
            </w:tcBorders>
            <w:noWrap w:val="0"/>
            <w:vAlign w:val="center"/>
          </w:tcPr>
          <w:p w14:paraId="0982CECB">
            <w:pPr>
              <w:spacing w:line="230" w:lineRule="exact"/>
              <w:jc w:val="center"/>
              <w:rPr>
                <w:rFonts w:ascii="宋体" w:hAnsi="宋体"/>
                <w:sz w:val="24"/>
              </w:rPr>
            </w:pPr>
          </w:p>
        </w:tc>
      </w:tr>
      <w:tr w14:paraId="627F0D3E">
        <w:tblPrEx>
          <w:tblCellMar>
            <w:top w:w="0" w:type="dxa"/>
            <w:left w:w="0" w:type="dxa"/>
            <w:bottom w:w="0" w:type="dxa"/>
            <w:right w:w="0" w:type="dxa"/>
          </w:tblCellMar>
        </w:tblPrEx>
        <w:trPr>
          <w:trHeight w:val="397" w:hRule="atLeast"/>
          <w:jc w:val="center"/>
        </w:trPr>
        <w:tc>
          <w:tcPr>
            <w:tcW w:w="86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1C9FBE2">
            <w:pPr>
              <w:autoSpaceDE w:val="0"/>
              <w:autoSpaceDN w:val="0"/>
              <w:adjustRightInd w:val="0"/>
              <w:spacing w:line="360" w:lineRule="auto"/>
              <w:jc w:val="center"/>
              <w:rPr>
                <w:rFonts w:hint="default" w:ascii="宋体" w:hAnsi="宋体"/>
                <w:b/>
                <w:bCs/>
                <w:kern w:val="0"/>
                <w:sz w:val="24"/>
                <w:lang w:val="en-US" w:eastAsia="zh-CN"/>
              </w:rPr>
            </w:pPr>
            <w:r>
              <w:rPr>
                <w:rFonts w:hint="eastAsia" w:ascii="宋体" w:hAnsi="宋体"/>
                <w:b/>
                <w:bCs/>
                <w:kern w:val="0"/>
                <w:sz w:val="24"/>
                <w:lang w:val="en-US" w:eastAsia="zh-CN"/>
              </w:rPr>
              <w:t>6</w:t>
            </w:r>
          </w:p>
        </w:tc>
        <w:tc>
          <w:tcPr>
            <w:tcW w:w="173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AA29A4B">
            <w:pPr>
              <w:autoSpaceDE w:val="0"/>
              <w:autoSpaceDN w:val="0"/>
              <w:adjustRightInd w:val="0"/>
              <w:spacing w:line="360" w:lineRule="auto"/>
              <w:jc w:val="center"/>
              <w:rPr>
                <w:rFonts w:hint="eastAsia" w:ascii="宋体" w:hAnsi="宋体"/>
                <w:b/>
                <w:bCs/>
                <w:kern w:val="0"/>
                <w:sz w:val="24"/>
                <w:lang w:val="en-US" w:eastAsia="zh-CN"/>
              </w:rPr>
            </w:pPr>
            <w:r>
              <w:rPr>
                <w:rFonts w:hint="eastAsia" w:ascii="宋体" w:hAnsi="宋体"/>
                <w:b/>
                <w:bCs/>
                <w:kern w:val="0"/>
                <w:sz w:val="24"/>
                <w:lang w:val="en-US" w:eastAsia="zh-CN"/>
              </w:rPr>
              <w:t>通力</w:t>
            </w:r>
          </w:p>
        </w:tc>
        <w:tc>
          <w:tcPr>
            <w:tcW w:w="188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D294593">
            <w:pPr>
              <w:autoSpaceDE w:val="0"/>
              <w:autoSpaceDN w:val="0"/>
              <w:adjustRightInd w:val="0"/>
              <w:spacing w:line="360" w:lineRule="auto"/>
              <w:jc w:val="center"/>
              <w:rPr>
                <w:rFonts w:hint="eastAsia" w:ascii="宋体" w:hAnsi="宋体"/>
                <w:b/>
                <w:bCs/>
                <w:kern w:val="0"/>
                <w:sz w:val="24"/>
                <w:lang w:val="en-US" w:eastAsia="zh-CN"/>
              </w:rPr>
            </w:pPr>
            <w:r>
              <w:rPr>
                <w:rFonts w:hint="eastAsia" w:ascii="宋体" w:hAnsi="宋体"/>
                <w:b/>
                <w:bCs/>
                <w:kern w:val="0"/>
                <w:sz w:val="24"/>
                <w:lang w:val="en-US" w:eastAsia="zh-CN"/>
              </w:rPr>
              <w:t>2/2</w:t>
            </w:r>
          </w:p>
        </w:tc>
        <w:tc>
          <w:tcPr>
            <w:tcW w:w="143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750DDB7">
            <w:pPr>
              <w:autoSpaceDE w:val="0"/>
              <w:autoSpaceDN w:val="0"/>
              <w:adjustRightInd w:val="0"/>
              <w:spacing w:line="360" w:lineRule="auto"/>
              <w:jc w:val="center"/>
              <w:rPr>
                <w:rFonts w:hint="eastAsia" w:ascii="宋体" w:hAnsi="宋体"/>
                <w:b/>
                <w:bCs/>
                <w:kern w:val="0"/>
                <w:sz w:val="24"/>
                <w:lang w:val="en-US" w:eastAsia="zh-CN"/>
              </w:rPr>
            </w:pPr>
            <w:r>
              <w:rPr>
                <w:rFonts w:hint="eastAsia" w:ascii="宋体" w:hAnsi="宋体"/>
                <w:b/>
                <w:bCs/>
                <w:kern w:val="0"/>
                <w:sz w:val="24"/>
                <w:lang w:val="en-US" w:eastAsia="zh-CN"/>
              </w:rPr>
              <w:t>1000KG</w:t>
            </w:r>
          </w:p>
        </w:tc>
        <w:tc>
          <w:tcPr>
            <w:tcW w:w="144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77634F9">
            <w:pPr>
              <w:autoSpaceDE w:val="0"/>
              <w:autoSpaceDN w:val="0"/>
              <w:adjustRightInd w:val="0"/>
              <w:spacing w:line="360" w:lineRule="auto"/>
              <w:jc w:val="center"/>
              <w:rPr>
                <w:rFonts w:hint="eastAsia" w:ascii="宋体" w:hAnsi="宋体"/>
                <w:b/>
                <w:bCs/>
                <w:kern w:val="0"/>
                <w:sz w:val="24"/>
                <w:lang w:val="en-US" w:eastAsia="zh-CN"/>
              </w:rPr>
            </w:pPr>
            <w:r>
              <w:rPr>
                <w:rFonts w:hint="eastAsia" w:ascii="宋体" w:hAnsi="宋体"/>
                <w:b/>
                <w:bCs/>
                <w:kern w:val="0"/>
                <w:sz w:val="24"/>
                <w:lang w:val="en-US" w:eastAsia="zh-CN"/>
              </w:rPr>
              <w:t>1</w:t>
            </w:r>
          </w:p>
        </w:tc>
        <w:tc>
          <w:tcPr>
            <w:tcW w:w="15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CE6F0E8">
            <w:pPr>
              <w:jc w:val="center"/>
              <w:rPr>
                <w:rFonts w:hint="eastAsia" w:ascii="宋体" w:hAnsi="宋体"/>
                <w:b/>
                <w:bCs/>
                <w:kern w:val="0"/>
                <w:sz w:val="24"/>
                <w:lang w:val="en-US" w:eastAsia="zh-CN"/>
              </w:rPr>
            </w:pPr>
            <w:r>
              <w:rPr>
                <w:rFonts w:hint="eastAsia" w:ascii="TKTypeMedium" w:hAnsi="TKTypeMedium"/>
                <w:bCs/>
                <w:color w:val="000000"/>
                <w:szCs w:val="21"/>
                <w:lang w:val="en-US" w:eastAsia="zh-CN"/>
              </w:rPr>
              <w:t>1</w:t>
            </w:r>
          </w:p>
        </w:tc>
        <w:tc>
          <w:tcPr>
            <w:tcW w:w="2595" w:type="dxa"/>
            <w:vMerge w:val="continue"/>
            <w:tcBorders>
              <w:left w:val="nil"/>
              <w:right w:val="single" w:color="auto" w:sz="4" w:space="0"/>
            </w:tcBorders>
            <w:shd w:val="clear" w:color="auto" w:fill="FFFFFF"/>
            <w:noWrap w:val="0"/>
            <w:vAlign w:val="center"/>
          </w:tcPr>
          <w:p w14:paraId="4CBD9776">
            <w:pPr>
              <w:autoSpaceDE w:val="0"/>
              <w:autoSpaceDN w:val="0"/>
              <w:adjustRightInd w:val="0"/>
              <w:spacing w:line="360" w:lineRule="auto"/>
              <w:jc w:val="center"/>
              <w:rPr>
                <w:rFonts w:ascii="宋体" w:hAnsi="宋体"/>
                <w:sz w:val="24"/>
              </w:rPr>
            </w:pPr>
          </w:p>
        </w:tc>
        <w:tc>
          <w:tcPr>
            <w:tcW w:w="1679" w:type="dxa"/>
            <w:vMerge w:val="continue"/>
            <w:tcBorders>
              <w:left w:val="nil"/>
              <w:right w:val="single" w:color="auto" w:sz="4" w:space="0"/>
            </w:tcBorders>
            <w:noWrap w:val="0"/>
            <w:vAlign w:val="center"/>
          </w:tcPr>
          <w:p w14:paraId="5710083F">
            <w:pPr>
              <w:spacing w:line="230" w:lineRule="exact"/>
              <w:jc w:val="center"/>
              <w:rPr>
                <w:rFonts w:hint="eastAsia" w:ascii="宋体" w:hAnsi="宋体"/>
                <w:sz w:val="24"/>
                <w:lang w:val="en-US" w:eastAsia="zh-CN"/>
              </w:rPr>
            </w:pPr>
          </w:p>
        </w:tc>
        <w:tc>
          <w:tcPr>
            <w:tcW w:w="1361" w:type="dxa"/>
            <w:tcBorders>
              <w:top w:val="single" w:color="auto" w:sz="4" w:space="0"/>
              <w:left w:val="nil"/>
              <w:bottom w:val="single" w:color="auto" w:sz="4" w:space="0"/>
              <w:right w:val="single" w:color="auto" w:sz="4" w:space="0"/>
            </w:tcBorders>
            <w:noWrap w:val="0"/>
            <w:vAlign w:val="center"/>
          </w:tcPr>
          <w:p w14:paraId="0DBFBE4F">
            <w:pPr>
              <w:spacing w:line="230" w:lineRule="exact"/>
              <w:jc w:val="center"/>
              <w:rPr>
                <w:rFonts w:ascii="宋体" w:hAnsi="宋体"/>
                <w:sz w:val="24"/>
              </w:rPr>
            </w:pPr>
          </w:p>
        </w:tc>
        <w:tc>
          <w:tcPr>
            <w:tcW w:w="1540" w:type="dxa"/>
            <w:tcBorders>
              <w:top w:val="single" w:color="auto" w:sz="4" w:space="0"/>
              <w:left w:val="nil"/>
              <w:bottom w:val="single" w:color="auto" w:sz="4" w:space="0"/>
              <w:right w:val="single" w:color="auto" w:sz="4" w:space="0"/>
            </w:tcBorders>
            <w:noWrap w:val="0"/>
            <w:vAlign w:val="center"/>
          </w:tcPr>
          <w:p w14:paraId="60A3AA11">
            <w:pPr>
              <w:spacing w:line="230" w:lineRule="exact"/>
              <w:jc w:val="center"/>
              <w:rPr>
                <w:rFonts w:ascii="宋体" w:hAnsi="宋体"/>
                <w:sz w:val="24"/>
              </w:rPr>
            </w:pPr>
          </w:p>
        </w:tc>
      </w:tr>
      <w:tr w14:paraId="37C5F68A">
        <w:tblPrEx>
          <w:tblCellMar>
            <w:top w:w="0" w:type="dxa"/>
            <w:left w:w="0" w:type="dxa"/>
            <w:bottom w:w="0" w:type="dxa"/>
            <w:right w:w="0" w:type="dxa"/>
          </w:tblCellMar>
        </w:tblPrEx>
        <w:trPr>
          <w:trHeight w:val="1176" w:hRule="atLeast"/>
          <w:jc w:val="center"/>
        </w:trPr>
        <w:tc>
          <w:tcPr>
            <w:tcW w:w="7357" w:type="dxa"/>
            <w:gridSpan w:val="5"/>
            <w:tcBorders>
              <w:top w:val="single" w:color="auto" w:sz="4" w:space="0"/>
              <w:left w:val="single" w:color="auto" w:sz="4" w:space="0"/>
              <w:bottom w:val="single" w:color="auto" w:sz="4" w:space="0"/>
              <w:right w:val="single" w:color="auto" w:sz="4" w:space="0"/>
            </w:tcBorders>
            <w:shd w:val="clear" w:color="auto" w:fill="FFFFFF"/>
            <w:noWrap w:val="0"/>
            <w:vAlign w:val="center"/>
          </w:tcPr>
          <w:p w14:paraId="17EFBB1E">
            <w:pPr>
              <w:autoSpaceDE w:val="0"/>
              <w:autoSpaceDN w:val="0"/>
              <w:adjustRightInd w:val="0"/>
              <w:spacing w:line="360" w:lineRule="auto"/>
              <w:jc w:val="center"/>
              <w:rPr>
                <w:rFonts w:hint="eastAsia" w:ascii="宋体" w:hAnsi="宋体"/>
                <w:sz w:val="24"/>
                <w:lang w:val="en-US" w:eastAsia="zh-CN"/>
              </w:rPr>
            </w:pPr>
            <w:r>
              <w:rPr>
                <w:rFonts w:hint="eastAsia" w:ascii="宋体" w:hAnsi="宋体"/>
                <w:sz w:val="24"/>
                <w:lang w:val="en-US" w:eastAsia="zh-CN"/>
              </w:rPr>
              <w:t>地点：</w:t>
            </w:r>
            <w:r>
              <w:rPr>
                <w:rFonts w:hint="eastAsia" w:ascii="宋体" w:hAnsi="宋体"/>
                <w:sz w:val="24"/>
                <w:szCs w:val="24"/>
              </w:rPr>
              <w:t>赣康路25号</w:t>
            </w:r>
          </w:p>
        </w:tc>
        <w:tc>
          <w:tcPr>
            <w:tcW w:w="15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1AD4F6E">
            <w:pPr>
              <w:jc w:val="center"/>
              <w:rPr>
                <w:rFonts w:hint="default" w:ascii="宋体" w:hAnsi="宋体"/>
                <w:sz w:val="24"/>
                <w:lang w:val="en-US" w:eastAsia="zh-CN"/>
              </w:rPr>
            </w:pPr>
            <w:r>
              <w:rPr>
                <w:rFonts w:hint="eastAsia" w:ascii="TKTypeMedium" w:hAnsi="TKTypeMedium"/>
                <w:bCs/>
                <w:color w:val="000000"/>
                <w:szCs w:val="21"/>
                <w:lang w:val="en-US" w:eastAsia="zh-CN"/>
              </w:rPr>
              <w:t>34</w:t>
            </w:r>
          </w:p>
        </w:tc>
        <w:tc>
          <w:tcPr>
            <w:tcW w:w="2595" w:type="dxa"/>
            <w:vMerge w:val="continue"/>
            <w:tcBorders>
              <w:left w:val="nil"/>
              <w:bottom w:val="single" w:color="auto" w:sz="4" w:space="0"/>
              <w:right w:val="single" w:color="auto" w:sz="4" w:space="0"/>
            </w:tcBorders>
            <w:shd w:val="clear" w:color="auto" w:fill="FFFFFF"/>
            <w:noWrap w:val="0"/>
            <w:vAlign w:val="center"/>
          </w:tcPr>
          <w:p w14:paraId="279B58B3">
            <w:pPr>
              <w:spacing w:line="230" w:lineRule="exact"/>
              <w:jc w:val="center"/>
              <w:rPr>
                <w:rFonts w:ascii="宋体" w:hAnsi="宋体"/>
                <w:sz w:val="24"/>
              </w:rPr>
            </w:pPr>
          </w:p>
        </w:tc>
        <w:tc>
          <w:tcPr>
            <w:tcW w:w="1679" w:type="dxa"/>
            <w:vMerge w:val="continue"/>
            <w:tcBorders>
              <w:left w:val="nil"/>
              <w:bottom w:val="single" w:color="auto" w:sz="4" w:space="0"/>
              <w:right w:val="single" w:color="auto" w:sz="4" w:space="0"/>
            </w:tcBorders>
            <w:shd w:val="clear" w:color="auto" w:fill="FFFFFF"/>
            <w:noWrap w:val="0"/>
            <w:vAlign w:val="center"/>
          </w:tcPr>
          <w:p w14:paraId="4274EAA3">
            <w:pPr>
              <w:spacing w:line="230" w:lineRule="exact"/>
              <w:jc w:val="left"/>
              <w:rPr>
                <w:rFonts w:hint="default" w:ascii="宋体" w:hAnsi="宋体" w:eastAsiaTheme="minorEastAsia"/>
                <w:sz w:val="24"/>
                <w:lang w:val="en-US" w:eastAsia="zh-CN"/>
              </w:rPr>
            </w:pPr>
          </w:p>
        </w:tc>
        <w:tc>
          <w:tcPr>
            <w:tcW w:w="1361" w:type="dxa"/>
            <w:tcBorders>
              <w:top w:val="single" w:color="auto" w:sz="4" w:space="0"/>
              <w:left w:val="nil"/>
              <w:bottom w:val="single" w:color="auto" w:sz="4" w:space="0"/>
              <w:right w:val="single" w:color="auto" w:sz="4" w:space="0"/>
            </w:tcBorders>
            <w:noWrap w:val="0"/>
            <w:vAlign w:val="center"/>
          </w:tcPr>
          <w:p w14:paraId="3E4582B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Theme="minorEastAsia"/>
                <w:sz w:val="24"/>
                <w:lang w:eastAsia="zh-CN"/>
              </w:rPr>
            </w:pPr>
            <w:r>
              <w:rPr>
                <w:rFonts w:hint="eastAsia" w:ascii="宋体" w:hAnsi="宋体"/>
                <w:sz w:val="24"/>
              </w:rPr>
              <w:t>总价</w:t>
            </w:r>
            <w:r>
              <w:rPr>
                <w:rFonts w:hint="eastAsia" w:ascii="宋体" w:hAnsi="宋体"/>
                <w:sz w:val="24"/>
                <w:lang w:eastAsia="zh-CN"/>
              </w:rPr>
              <w:t>（</w:t>
            </w:r>
            <w:r>
              <w:rPr>
                <w:rFonts w:hint="eastAsia" w:ascii="宋体" w:hAnsi="宋体"/>
                <w:sz w:val="24"/>
                <w:lang w:val="en-US" w:eastAsia="zh-CN"/>
              </w:rPr>
              <w:t>元</w:t>
            </w:r>
            <w:r>
              <w:rPr>
                <w:rFonts w:hint="eastAsia" w:ascii="宋体" w:hAnsi="宋体"/>
                <w:sz w:val="24"/>
                <w:lang w:eastAsia="zh-CN"/>
              </w:rPr>
              <w:t>）</w:t>
            </w:r>
          </w:p>
        </w:tc>
        <w:tc>
          <w:tcPr>
            <w:tcW w:w="1540" w:type="dxa"/>
            <w:tcBorders>
              <w:top w:val="single" w:color="auto" w:sz="4" w:space="0"/>
              <w:left w:val="nil"/>
              <w:bottom w:val="single" w:color="auto" w:sz="4" w:space="0"/>
              <w:right w:val="single" w:color="auto" w:sz="4" w:space="0"/>
            </w:tcBorders>
            <w:noWrap w:val="0"/>
            <w:vAlign w:val="center"/>
          </w:tcPr>
          <w:p w14:paraId="3BF7AAF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Theme="minorEastAsia"/>
                <w:sz w:val="24"/>
                <w:u w:val="single"/>
                <w:lang w:val="en-US" w:eastAsia="zh-CN"/>
              </w:rPr>
            </w:pPr>
            <w:r>
              <w:rPr>
                <w:rFonts w:hint="eastAsia" w:ascii="宋体" w:hAnsi="宋体"/>
                <w:sz w:val="24"/>
                <w:u w:val="single"/>
                <w:lang w:val="en-US" w:eastAsia="zh-CN"/>
              </w:rPr>
              <w:t xml:space="preserve">       </w:t>
            </w:r>
            <w:r>
              <w:rPr>
                <w:rFonts w:hint="eastAsia" w:ascii="宋体" w:hAnsi="宋体"/>
                <w:sz w:val="24"/>
                <w:u w:val="none"/>
                <w:lang w:val="en-US" w:eastAsia="zh-CN"/>
              </w:rPr>
              <w:t>元2年</w:t>
            </w:r>
          </w:p>
        </w:tc>
      </w:tr>
    </w:tbl>
    <w:p w14:paraId="39B559A1">
      <w:pPr>
        <w:widowControl/>
        <w:spacing w:before="100" w:beforeAutospacing="1" w:after="100" w:afterAutospacing="1"/>
        <w:ind w:firstLine="472" w:firstLineChars="196"/>
        <w:rPr>
          <w:rFonts w:ascii="宋体" w:hAnsi="宋体"/>
          <w:b/>
          <w:bCs/>
          <w:kern w:val="0"/>
          <w:sz w:val="24"/>
        </w:rPr>
      </w:pPr>
      <w:r>
        <w:rPr>
          <w:rFonts w:hint="eastAsia" w:ascii="宋体" w:hAnsi="宋体"/>
          <w:b/>
          <w:bCs/>
          <w:kern w:val="0"/>
          <w:sz w:val="24"/>
          <w:lang w:val="en-US" w:eastAsia="zh-CN"/>
        </w:rPr>
        <w:t>报价</w:t>
      </w:r>
      <w:r>
        <w:rPr>
          <w:rFonts w:hint="eastAsia" w:ascii="宋体" w:hAnsi="宋体"/>
          <w:b/>
          <w:bCs/>
          <w:kern w:val="0"/>
          <w:sz w:val="24"/>
        </w:rPr>
        <w:t>单位：</w:t>
      </w:r>
      <w:r>
        <w:rPr>
          <w:rFonts w:hint="eastAsia" w:ascii="宋体" w:hAnsi="宋体"/>
          <w:b/>
          <w:bCs/>
          <w:kern w:val="0"/>
          <w:sz w:val="24"/>
          <w:lang w:val="en-US" w:eastAsia="zh-CN"/>
        </w:rPr>
        <w:t xml:space="preserve"> </w:t>
      </w:r>
      <w:r>
        <w:rPr>
          <w:rFonts w:hint="eastAsia" w:ascii="宋体" w:hAnsi="宋体"/>
          <w:b/>
          <w:bCs/>
          <w:kern w:val="0"/>
          <w:sz w:val="24"/>
        </w:rPr>
        <w:t xml:space="preserve">                                                  金额单位：元                     </w:t>
      </w:r>
    </w:p>
    <w:p w14:paraId="2F7786AB">
      <w:pPr>
        <w:rPr>
          <w:rFonts w:hint="eastAsia" w:ascii="宋体" w:hAnsi="宋体"/>
          <w:b/>
          <w:bCs/>
          <w:sz w:val="28"/>
          <w:szCs w:val="28"/>
        </w:rPr>
      </w:pPr>
    </w:p>
    <w:p w14:paraId="34DF44E7">
      <w:pPr>
        <w:ind w:firstLine="720" w:firstLineChars="300"/>
        <w:rPr>
          <w:rFonts w:hint="eastAsia" w:ascii="宋体" w:hAnsi="宋体"/>
          <w:bCs/>
          <w:sz w:val="24"/>
        </w:rPr>
        <w:sectPr>
          <w:pgSz w:w="16838" w:h="11906" w:orient="landscape"/>
          <w:pgMar w:top="1066" w:right="986" w:bottom="1066" w:left="986" w:header="851" w:footer="992" w:gutter="0"/>
          <w:cols w:space="0" w:num="1"/>
          <w:rtlGutter w:val="0"/>
          <w:docGrid w:type="lines" w:linePitch="312" w:charSpace="0"/>
        </w:sectPr>
      </w:pPr>
      <w:r>
        <w:rPr>
          <w:rFonts w:ascii="宋体" w:hAnsi="宋体" w:cs="宋体"/>
          <w:kern w:val="0"/>
          <w:sz w:val="24"/>
        </w:rPr>
        <w:t>法定代表人（</w:t>
      </w:r>
      <w:r>
        <w:rPr>
          <w:rFonts w:hint="eastAsia" w:ascii="宋体" w:hAnsi="宋体" w:cs="宋体"/>
          <w:kern w:val="0"/>
          <w:sz w:val="24"/>
        </w:rPr>
        <w:t>或被授权人</w:t>
      </w:r>
      <w:r>
        <w:rPr>
          <w:rFonts w:ascii="宋体" w:hAnsi="宋体" w:cs="宋体"/>
          <w:kern w:val="0"/>
          <w:sz w:val="24"/>
        </w:rPr>
        <w:t>）</w:t>
      </w:r>
      <w:r>
        <w:rPr>
          <w:rFonts w:hint="eastAsia" w:ascii="宋体" w:hAnsi="宋体" w:cs="宋体"/>
          <w:kern w:val="0"/>
          <w:sz w:val="24"/>
        </w:rPr>
        <w:t>（</w:t>
      </w:r>
      <w:r>
        <w:rPr>
          <w:rFonts w:hint="eastAsia" w:ascii="宋体" w:hAnsi="宋体" w:cs="宋体"/>
          <w:kern w:val="0"/>
          <w:sz w:val="24"/>
          <w:lang w:val="en-US" w:eastAsia="zh-CN"/>
        </w:rPr>
        <w:t>手签</w:t>
      </w:r>
      <w:r>
        <w:rPr>
          <w:rFonts w:hint="eastAsia" w:ascii="宋体" w:hAnsi="宋体" w:cs="宋体"/>
          <w:kern w:val="0"/>
          <w:sz w:val="24"/>
        </w:rPr>
        <w:t>）</w:t>
      </w:r>
      <w:r>
        <w:rPr>
          <w:rFonts w:ascii="宋体" w:hAnsi="宋体" w:cs="宋体"/>
          <w:kern w:val="0"/>
          <w:sz w:val="24"/>
        </w:rPr>
        <w:t>：</w:t>
      </w:r>
      <w:r>
        <w:rPr>
          <w:rFonts w:hint="eastAsia" w:ascii="宋体" w:hAnsi="宋体" w:cs="宋体"/>
          <w:kern w:val="0"/>
          <w:sz w:val="24"/>
        </w:rPr>
        <w:t xml:space="preserve">                                </w:t>
      </w:r>
      <w:r>
        <w:rPr>
          <w:rFonts w:hint="eastAsia" w:ascii="宋体" w:hAnsi="宋体"/>
          <w:bCs/>
          <w:sz w:val="24"/>
        </w:rPr>
        <w:t>年   月  日</w:t>
      </w:r>
    </w:p>
    <w:p w14:paraId="5155346F">
      <w:pPr>
        <w:keepNext w:val="0"/>
        <w:keepLines w:val="0"/>
        <w:pageBreakBefore w:val="0"/>
        <w:kinsoku/>
        <w:wordWrap/>
        <w:overflowPunct/>
        <w:topLinePunct w:val="0"/>
        <w:autoSpaceDE/>
        <w:autoSpaceDN/>
        <w:bidi w:val="0"/>
        <w:adjustRightInd/>
        <w:snapToGrid/>
        <w:spacing w:beforeAutospacing="0" w:afterAutospacing="0" w:line="500" w:lineRule="exact"/>
        <w:ind w:firstLine="562" w:firstLineChars="200"/>
        <w:textAlignment w:val="auto"/>
        <w:rPr>
          <w:rFonts w:hint="eastAsia" w:ascii="仿宋" w:hAnsi="仿宋" w:eastAsia="仿宋" w:cs="仿宋"/>
          <w:b/>
          <w:bCs w:val="0"/>
          <w:color w:val="auto"/>
          <w:sz w:val="28"/>
          <w:szCs w:val="28"/>
          <w:highlight w:val="none"/>
          <w:lang w:val="en-US" w:eastAsia="zh-CN"/>
        </w:rPr>
      </w:pPr>
      <w:r>
        <w:rPr>
          <w:rFonts w:hint="eastAsia" w:ascii="仿宋" w:hAnsi="仿宋" w:eastAsia="仿宋" w:cs="仿宋"/>
          <w:b/>
          <w:bCs w:val="0"/>
          <w:color w:val="auto"/>
          <w:sz w:val="28"/>
          <w:szCs w:val="28"/>
          <w:highlight w:val="none"/>
          <w:lang w:val="en-US" w:eastAsia="zh-CN"/>
        </w:rPr>
        <w:t>本项目总报价应包含全部电梯的维修和保养所需的全部费用，含电梯维修和保养的人工费、交通费、服务费、税费等以及《中华人民共和国特种设备安全法》国家规定的电梯年检费等各项检测校验费用以及不在赣州市妇幼保健院常用收费配件价表中但价格低于500元的各项配件。【另附：</w:t>
      </w:r>
      <w:bookmarkStart w:id="0" w:name="_GoBack"/>
      <w:bookmarkEnd w:id="0"/>
      <w:r>
        <w:rPr>
          <w:rFonts w:hint="eastAsia" w:ascii="仿宋" w:hAnsi="仿宋" w:eastAsia="仿宋" w:cs="仿宋"/>
          <w:b/>
          <w:bCs w:val="0"/>
          <w:color w:val="auto"/>
          <w:sz w:val="28"/>
          <w:szCs w:val="28"/>
          <w:highlight w:val="none"/>
          <w:lang w:val="en-US" w:eastAsia="zh-CN"/>
        </w:rPr>
        <w:t>赣州市妇幼保健院常用收费配件价目表，运维供应商在维保过程中如需要更换配件表内的配件的，按价目表表内价格收费。】</w:t>
      </w:r>
    </w:p>
    <w:p w14:paraId="49714ABF">
      <w:pPr>
        <w:pStyle w:val="4"/>
        <w:keepNext w:val="0"/>
        <w:keepLines w:val="0"/>
        <w:pageBreakBefore w:val="0"/>
        <w:kinsoku/>
        <w:wordWrap/>
        <w:overflowPunct/>
        <w:topLinePunct w:val="0"/>
        <w:autoSpaceDE/>
        <w:autoSpaceDN/>
        <w:bidi w:val="0"/>
        <w:adjustRightInd/>
        <w:snapToGrid/>
        <w:spacing w:before="0" w:beforeAutospacing="0" w:after="0" w:afterAutospacing="0" w:line="500" w:lineRule="exact"/>
        <w:ind w:firstLine="560" w:firstLineChars="200"/>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维修保养计划：电梯的维修保养分为半月保养、季度保养、半年度保养、年度保养，具体详情</w:t>
      </w:r>
      <w:r>
        <w:rPr>
          <w:rFonts w:hint="eastAsia" w:ascii="仿宋" w:hAnsi="仿宋" w:eastAsia="仿宋" w:cs="仿宋"/>
          <w:bCs/>
          <w:color w:val="auto"/>
          <w:sz w:val="28"/>
          <w:szCs w:val="28"/>
          <w:highlight w:val="none"/>
          <w:lang w:val="en-US" w:eastAsia="zh-CN"/>
        </w:rPr>
        <w:t>见</w:t>
      </w:r>
      <w:r>
        <w:rPr>
          <w:rFonts w:hint="eastAsia" w:ascii="仿宋" w:hAnsi="仿宋" w:eastAsia="仿宋" w:cs="仿宋"/>
          <w:bCs/>
          <w:color w:val="auto"/>
          <w:sz w:val="28"/>
          <w:szCs w:val="28"/>
          <w:highlight w:val="none"/>
        </w:rPr>
        <w:t>：附件：</w:t>
      </w:r>
    </w:p>
    <w:p w14:paraId="44FF5839">
      <w:pPr>
        <w:keepLines w:val="0"/>
        <w:pageBreakBefore w:val="0"/>
        <w:kinsoku/>
        <w:wordWrap/>
        <w:overflowPunct/>
        <w:topLinePunct w:val="0"/>
        <w:autoSpaceDE/>
        <w:autoSpaceDN/>
        <w:bidi w:val="0"/>
        <w:adjustRightInd/>
        <w:snapToGrid/>
        <w:spacing w:line="500" w:lineRule="exact"/>
        <w:ind w:firstLine="562" w:firstLineChars="200"/>
        <w:jc w:val="left"/>
        <w:textAlignment w:val="auto"/>
        <w:rPr>
          <w:rFonts w:hint="eastAsia" w:ascii="仿宋" w:hAnsi="仿宋" w:eastAsia="仿宋" w:cs="仿宋"/>
          <w:b/>
          <w:bCs w:val="0"/>
          <w:color w:val="auto"/>
          <w:sz w:val="28"/>
          <w:szCs w:val="28"/>
          <w:highlight w:val="none"/>
        </w:rPr>
      </w:pPr>
      <w:r>
        <w:rPr>
          <w:rFonts w:hint="eastAsia" w:ascii="仿宋" w:hAnsi="仿宋" w:eastAsia="仿宋" w:cs="仿宋"/>
          <w:b/>
          <w:bCs w:val="0"/>
          <w:color w:val="auto"/>
          <w:sz w:val="28"/>
          <w:szCs w:val="28"/>
          <w:highlight w:val="none"/>
        </w:rPr>
        <w:t>赣州市妇幼保健院常用收费配件</w:t>
      </w:r>
      <w:r>
        <w:rPr>
          <w:rFonts w:hint="eastAsia" w:ascii="仿宋" w:hAnsi="仿宋" w:eastAsia="仿宋" w:cs="仿宋"/>
          <w:b/>
          <w:bCs w:val="0"/>
          <w:color w:val="auto"/>
          <w:sz w:val="28"/>
          <w:szCs w:val="28"/>
          <w:highlight w:val="none"/>
          <w:lang w:val="en-US" w:eastAsia="zh-CN"/>
        </w:rPr>
        <w:t>价目</w:t>
      </w:r>
      <w:r>
        <w:rPr>
          <w:rFonts w:hint="eastAsia" w:ascii="仿宋" w:hAnsi="仿宋" w:eastAsia="仿宋" w:cs="仿宋"/>
          <w:b/>
          <w:bCs w:val="0"/>
          <w:color w:val="auto"/>
          <w:sz w:val="28"/>
          <w:szCs w:val="28"/>
          <w:highlight w:val="none"/>
        </w:rPr>
        <w:t>表</w:t>
      </w:r>
    </w:p>
    <w:p w14:paraId="64134BA4">
      <w:pPr>
        <w:keepLines w:val="0"/>
        <w:pageBreakBefore w:val="0"/>
        <w:kinsoku/>
        <w:wordWrap/>
        <w:overflowPunct/>
        <w:topLinePunct w:val="0"/>
        <w:autoSpaceDE/>
        <w:autoSpaceDN/>
        <w:bidi w:val="0"/>
        <w:adjustRightInd/>
        <w:snapToGrid/>
        <w:spacing w:line="500" w:lineRule="exact"/>
        <w:ind w:firstLine="562" w:firstLineChars="200"/>
        <w:jc w:val="left"/>
        <w:textAlignment w:val="auto"/>
        <w:rPr>
          <w:rFonts w:hint="eastAsia" w:ascii="仿宋" w:hAnsi="仿宋" w:eastAsia="仿宋" w:cs="仿宋"/>
          <w:b/>
          <w:bCs w:val="0"/>
          <w:color w:val="FF0000"/>
          <w:sz w:val="28"/>
          <w:szCs w:val="28"/>
          <w:highlight w:val="none"/>
        </w:rPr>
      </w:pPr>
      <w:r>
        <w:rPr>
          <w:rFonts w:hint="eastAsia" w:ascii="仿宋" w:hAnsi="仿宋" w:eastAsia="仿宋" w:cs="仿宋"/>
          <w:b/>
          <w:bCs w:val="0"/>
          <w:color w:val="FF0000"/>
          <w:sz w:val="28"/>
          <w:szCs w:val="28"/>
          <w:highlight w:val="none"/>
        </w:rPr>
        <w:t>2017新法规附件A--曳引与强制驱动电梯维护保养项目(内容)和要求</w:t>
      </w:r>
    </w:p>
    <w:p w14:paraId="3A6CD548">
      <w:pPr>
        <w:keepLines w:val="0"/>
        <w:pageBreakBefore w:val="0"/>
        <w:kinsoku/>
        <w:wordWrap/>
        <w:overflowPunct/>
        <w:topLinePunct w:val="0"/>
        <w:autoSpaceDE/>
        <w:autoSpaceDN/>
        <w:bidi w:val="0"/>
        <w:adjustRightInd/>
        <w:snapToGrid/>
        <w:spacing w:line="500" w:lineRule="exact"/>
        <w:ind w:firstLine="562" w:firstLineChars="200"/>
        <w:jc w:val="left"/>
        <w:textAlignment w:val="auto"/>
        <w:rPr>
          <w:rFonts w:hint="eastAsia" w:ascii="仿宋" w:hAnsi="仿宋" w:eastAsia="仿宋" w:cs="仿宋"/>
          <w:b/>
          <w:bCs w:val="0"/>
          <w:color w:val="FF0000"/>
          <w:sz w:val="28"/>
          <w:szCs w:val="28"/>
          <w:highlight w:val="none"/>
        </w:rPr>
      </w:pPr>
      <w:r>
        <w:rPr>
          <w:rFonts w:hint="eastAsia" w:ascii="仿宋" w:hAnsi="仿宋" w:eastAsia="仿宋" w:cs="仿宋"/>
          <w:b/>
          <w:bCs w:val="0"/>
          <w:color w:val="FF0000"/>
          <w:sz w:val="28"/>
          <w:szCs w:val="28"/>
          <w:highlight w:val="none"/>
        </w:rPr>
        <w:t>2017新法规附件D--自动扶梯与自动人行道维护保养项目(内容)和要求</w:t>
      </w:r>
    </w:p>
    <w:p w14:paraId="49081613">
      <w:pPr>
        <w:keepLines w:val="0"/>
        <w:pageBreakBefore w:val="0"/>
        <w:kinsoku/>
        <w:wordWrap/>
        <w:overflowPunct/>
        <w:topLinePunct w:val="0"/>
        <w:autoSpaceDE/>
        <w:autoSpaceDN/>
        <w:bidi w:val="0"/>
        <w:adjustRightInd/>
        <w:snapToGrid/>
        <w:spacing w:line="500" w:lineRule="exact"/>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赣州市妇幼保健院常用收费配件</w:t>
      </w:r>
      <w:r>
        <w:rPr>
          <w:rFonts w:hint="eastAsia" w:ascii="仿宋" w:hAnsi="仿宋" w:eastAsia="仿宋" w:cs="仿宋"/>
          <w:b/>
          <w:bCs/>
          <w:color w:val="auto"/>
          <w:sz w:val="28"/>
          <w:szCs w:val="28"/>
          <w:highlight w:val="none"/>
          <w:lang w:val="en-US" w:eastAsia="zh-CN"/>
        </w:rPr>
        <w:t>价目</w:t>
      </w:r>
      <w:r>
        <w:rPr>
          <w:rFonts w:hint="eastAsia" w:ascii="仿宋" w:hAnsi="仿宋" w:eastAsia="仿宋" w:cs="仿宋"/>
          <w:b/>
          <w:bCs/>
          <w:color w:val="auto"/>
          <w:sz w:val="28"/>
          <w:szCs w:val="28"/>
          <w:highlight w:val="none"/>
        </w:rPr>
        <w:t>表</w:t>
      </w:r>
    </w:p>
    <w:tbl>
      <w:tblPr>
        <w:tblW w:w="104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467"/>
        <w:gridCol w:w="2581"/>
        <w:gridCol w:w="3736"/>
        <w:gridCol w:w="735"/>
        <w:gridCol w:w="1650"/>
        <w:gridCol w:w="1248"/>
      </w:tblGrid>
      <w:tr w14:paraId="79C14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96"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3C39CC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序号</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5A9E99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名称</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24B459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型号</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32A22E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单位</w:t>
            </w:r>
          </w:p>
        </w:tc>
        <w:tc>
          <w:tcPr>
            <w:tcW w:w="1650" w:type="dxa"/>
            <w:tcBorders>
              <w:top w:val="single" w:color="000000" w:sz="4" w:space="0"/>
              <w:left w:val="single" w:color="000000" w:sz="4" w:space="0"/>
              <w:bottom w:val="single" w:color="000000" w:sz="4" w:space="0"/>
              <w:right w:val="single" w:color="000000" w:sz="4" w:space="0"/>
            </w:tcBorders>
            <w:shd w:val="clear"/>
            <w:vAlign w:val="center"/>
          </w:tcPr>
          <w:p w14:paraId="2E0B9F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标准价（含税价）RMB</w:t>
            </w: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2F19A2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备注</w:t>
            </w:r>
          </w:p>
        </w:tc>
      </w:tr>
      <w:tr w14:paraId="7AFB4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7FD3B3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2D992D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对讲机应急电源</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7AF0CB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HD-212</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127DE7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66024B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1750A0A6">
            <w:pPr>
              <w:rPr>
                <w:rFonts w:hint="eastAsia" w:ascii="宋体" w:hAnsi="宋体" w:eastAsia="宋体" w:cs="宋体"/>
                <w:i w:val="0"/>
                <w:iCs w:val="0"/>
                <w:color w:val="000000"/>
                <w:sz w:val="22"/>
                <w:szCs w:val="22"/>
                <w:u w:val="none"/>
              </w:rPr>
            </w:pPr>
          </w:p>
        </w:tc>
      </w:tr>
      <w:tr w14:paraId="0DD41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1B994C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20F25E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9"/>
                <w:bdr w:val="none" w:color="auto" w:sz="0" w:space="0"/>
                <w:lang w:val="en-US" w:eastAsia="zh-CN" w:bidi="ar"/>
              </w:rPr>
              <w:t>应急</w:t>
            </w:r>
            <w:r>
              <w:rPr>
                <w:rFonts w:hint="eastAsia" w:ascii="宋体" w:hAnsi="宋体" w:eastAsia="宋体" w:cs="宋体"/>
                <w:i w:val="0"/>
                <w:iCs w:val="0"/>
                <w:color w:val="000000"/>
                <w:kern w:val="0"/>
                <w:sz w:val="22"/>
                <w:szCs w:val="22"/>
                <w:u w:val="none"/>
                <w:bdr w:val="none" w:color="auto" w:sz="0" w:space="0"/>
                <w:lang w:val="en-US" w:eastAsia="zh-CN" w:bidi="ar"/>
              </w:rPr>
              <w:t>对讲电话</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446C3865">
            <w:pPr>
              <w:rPr>
                <w:rFonts w:hint="eastAsia" w:ascii="宋体" w:hAnsi="宋体" w:eastAsia="宋体" w:cs="宋体"/>
                <w:i w:val="0"/>
                <w:iCs w:val="0"/>
                <w:color w:val="000000"/>
                <w:sz w:val="22"/>
                <w:szCs w:val="22"/>
                <w:u w:val="none"/>
              </w:rPr>
            </w:pP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7AD04A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1F6D56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3789BB6B">
            <w:pPr>
              <w:rPr>
                <w:rFonts w:hint="eastAsia" w:ascii="宋体" w:hAnsi="宋体" w:eastAsia="宋体" w:cs="宋体"/>
                <w:i w:val="0"/>
                <w:iCs w:val="0"/>
                <w:color w:val="000000"/>
                <w:sz w:val="22"/>
                <w:szCs w:val="22"/>
                <w:u w:val="none"/>
              </w:rPr>
            </w:pPr>
          </w:p>
        </w:tc>
      </w:tr>
      <w:tr w14:paraId="20B40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00BEA8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1F0DAC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门控板</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6976DA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ADC门机控制板</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6BB1B1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46343D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24DCC2C6">
            <w:pPr>
              <w:rPr>
                <w:rFonts w:hint="eastAsia" w:ascii="宋体" w:hAnsi="宋体" w:eastAsia="宋体" w:cs="宋体"/>
                <w:i w:val="0"/>
                <w:iCs w:val="0"/>
                <w:color w:val="000000"/>
                <w:sz w:val="22"/>
                <w:szCs w:val="22"/>
                <w:u w:val="none"/>
              </w:rPr>
            </w:pPr>
          </w:p>
        </w:tc>
      </w:tr>
      <w:tr w14:paraId="3B5E6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54EDF5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7D5539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门机马达</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2701C3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D15D7，用于AMD D1.5 D7,右置</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0A78A6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37134E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10208646">
            <w:pPr>
              <w:rPr>
                <w:rFonts w:hint="eastAsia" w:ascii="宋体" w:hAnsi="宋体" w:eastAsia="宋体" w:cs="宋体"/>
                <w:i w:val="0"/>
                <w:iCs w:val="0"/>
                <w:color w:val="000000"/>
                <w:sz w:val="22"/>
                <w:szCs w:val="22"/>
                <w:u w:val="none"/>
              </w:rPr>
            </w:pPr>
          </w:p>
        </w:tc>
      </w:tr>
      <w:tr w14:paraId="0DBAA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0438B4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3C7038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门机皮带 </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4B22D4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钢芯</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6802E7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240196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3691C5BB">
            <w:pPr>
              <w:rPr>
                <w:rFonts w:hint="eastAsia" w:ascii="宋体" w:hAnsi="宋体" w:eastAsia="宋体" w:cs="宋体"/>
                <w:i w:val="0"/>
                <w:iCs w:val="0"/>
                <w:color w:val="000000"/>
                <w:sz w:val="22"/>
                <w:szCs w:val="22"/>
                <w:u w:val="none"/>
              </w:rPr>
            </w:pPr>
          </w:p>
        </w:tc>
      </w:tr>
      <w:tr w14:paraId="040CD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40A501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6CEF2E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门刀</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6FDE33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R2带锁门刀，NH=500mm</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395DB1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582D61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6CB89190">
            <w:pPr>
              <w:rPr>
                <w:rFonts w:hint="eastAsia" w:ascii="宋体" w:hAnsi="宋体" w:eastAsia="宋体" w:cs="宋体"/>
                <w:i w:val="0"/>
                <w:iCs w:val="0"/>
                <w:color w:val="000000"/>
                <w:sz w:val="22"/>
                <w:szCs w:val="22"/>
                <w:u w:val="none"/>
              </w:rPr>
            </w:pPr>
          </w:p>
        </w:tc>
      </w:tr>
      <w:tr w14:paraId="33A5F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2A6523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143CF7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LCECEB 扩展电子板</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6817B96F">
            <w:pPr>
              <w:rPr>
                <w:rFonts w:hint="eastAsia" w:ascii="宋体" w:hAnsi="宋体" w:eastAsia="宋体" w:cs="宋体"/>
                <w:i w:val="0"/>
                <w:iCs w:val="0"/>
                <w:color w:val="000000"/>
                <w:sz w:val="22"/>
                <w:szCs w:val="22"/>
                <w:u w:val="none"/>
              </w:rPr>
            </w:pP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232734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577BB4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334FC17F">
            <w:pPr>
              <w:rPr>
                <w:rFonts w:hint="eastAsia" w:ascii="宋体" w:hAnsi="宋体" w:eastAsia="宋体" w:cs="宋体"/>
                <w:i w:val="0"/>
                <w:iCs w:val="0"/>
                <w:color w:val="000000"/>
                <w:sz w:val="22"/>
                <w:szCs w:val="22"/>
                <w:u w:val="none"/>
              </w:rPr>
            </w:pPr>
          </w:p>
        </w:tc>
      </w:tr>
      <w:tr w14:paraId="26521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35CAA6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6B3CEE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驱动</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425AB3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9"/>
                <w:bdr w:val="none" w:color="auto" w:sz="0" w:space="0"/>
                <w:lang w:val="en-US" w:eastAsia="zh-CN" w:bidi="ar"/>
              </w:rPr>
              <w:t>KDL16S ,20A</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3F7D36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08B470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54E6445C">
            <w:pPr>
              <w:rPr>
                <w:rFonts w:hint="eastAsia" w:ascii="宋体" w:hAnsi="宋体" w:eastAsia="宋体" w:cs="宋体"/>
                <w:i w:val="0"/>
                <w:iCs w:val="0"/>
                <w:color w:val="000000"/>
                <w:sz w:val="22"/>
                <w:szCs w:val="22"/>
                <w:u w:val="none"/>
              </w:rPr>
            </w:pPr>
          </w:p>
        </w:tc>
      </w:tr>
      <w:tr w14:paraId="44C5D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31A053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6CD927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驱动</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0ADBD2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国产KR6,40A IP23</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0A8556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5EFB77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0D5F19D1">
            <w:pPr>
              <w:rPr>
                <w:rFonts w:hint="eastAsia" w:ascii="宋体" w:hAnsi="宋体" w:eastAsia="宋体" w:cs="宋体"/>
                <w:i w:val="0"/>
                <w:iCs w:val="0"/>
                <w:color w:val="000000"/>
                <w:sz w:val="22"/>
                <w:szCs w:val="22"/>
                <w:u w:val="none"/>
              </w:rPr>
            </w:pPr>
          </w:p>
        </w:tc>
      </w:tr>
      <w:tr w14:paraId="663BA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1C829B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3D9F9F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应急电池</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3C8E89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NP7-12 12V-7AH</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443E17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3B707B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49A6766F">
            <w:pPr>
              <w:rPr>
                <w:rFonts w:hint="eastAsia" w:ascii="宋体" w:hAnsi="宋体" w:eastAsia="宋体" w:cs="宋体"/>
                <w:i w:val="0"/>
                <w:iCs w:val="0"/>
                <w:color w:val="000000"/>
                <w:sz w:val="22"/>
                <w:szCs w:val="22"/>
                <w:u w:val="none"/>
              </w:rPr>
            </w:pPr>
          </w:p>
        </w:tc>
      </w:tr>
      <w:tr w14:paraId="733D1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53A97F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785501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轿厢风扇</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52782B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FB-9K-220 </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41B1C5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486B6F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247AAA19">
            <w:pPr>
              <w:rPr>
                <w:rFonts w:hint="eastAsia" w:ascii="宋体" w:hAnsi="宋体" w:eastAsia="宋体" w:cs="宋体"/>
                <w:i w:val="0"/>
                <w:iCs w:val="0"/>
                <w:color w:val="000000"/>
                <w:sz w:val="22"/>
                <w:szCs w:val="22"/>
                <w:u w:val="none"/>
              </w:rPr>
            </w:pPr>
          </w:p>
        </w:tc>
      </w:tr>
      <w:tr w14:paraId="6F0E9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129393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798DD4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轿底称重</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0998F46B">
            <w:pPr>
              <w:rPr>
                <w:rFonts w:hint="eastAsia" w:ascii="宋体" w:hAnsi="宋体" w:eastAsia="宋体" w:cs="宋体"/>
                <w:i w:val="0"/>
                <w:iCs w:val="0"/>
                <w:color w:val="000000"/>
                <w:sz w:val="22"/>
                <w:szCs w:val="22"/>
                <w:u w:val="none"/>
              </w:rPr>
            </w:pP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02CF9F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16442F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0925504A">
            <w:pPr>
              <w:rPr>
                <w:rFonts w:hint="eastAsia" w:ascii="宋体" w:hAnsi="宋体" w:eastAsia="宋体" w:cs="宋体"/>
                <w:i w:val="0"/>
                <w:iCs w:val="0"/>
                <w:color w:val="000000"/>
                <w:sz w:val="22"/>
                <w:szCs w:val="22"/>
                <w:u w:val="none"/>
              </w:rPr>
            </w:pPr>
          </w:p>
        </w:tc>
      </w:tr>
      <w:tr w14:paraId="7B753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16D0D9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5F4F4C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平层感应器烟杆型</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2B62AF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61U 61N 30</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7184EB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7A25CE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7FB6620B">
            <w:pPr>
              <w:rPr>
                <w:rFonts w:hint="eastAsia" w:ascii="宋体" w:hAnsi="宋体" w:eastAsia="宋体" w:cs="宋体"/>
                <w:i w:val="0"/>
                <w:iCs w:val="0"/>
                <w:color w:val="000000"/>
                <w:sz w:val="22"/>
                <w:szCs w:val="22"/>
                <w:u w:val="none"/>
              </w:rPr>
            </w:pPr>
          </w:p>
        </w:tc>
      </w:tr>
      <w:tr w14:paraId="70812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35CE77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52A618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平层感应器U型</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2453246C">
            <w:pPr>
              <w:rPr>
                <w:rFonts w:hint="eastAsia" w:ascii="宋体" w:hAnsi="宋体" w:eastAsia="宋体" w:cs="宋体"/>
                <w:i w:val="0"/>
                <w:iCs w:val="0"/>
                <w:color w:val="000000"/>
                <w:sz w:val="22"/>
                <w:szCs w:val="22"/>
                <w:u w:val="none"/>
              </w:rPr>
            </w:pP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130919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032E0C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3F79D0C3">
            <w:pPr>
              <w:rPr>
                <w:rFonts w:hint="eastAsia" w:ascii="宋体" w:hAnsi="宋体" w:eastAsia="宋体" w:cs="宋体"/>
                <w:i w:val="0"/>
                <w:iCs w:val="0"/>
                <w:color w:val="000000"/>
                <w:sz w:val="22"/>
                <w:szCs w:val="22"/>
                <w:u w:val="none"/>
              </w:rPr>
            </w:pPr>
          </w:p>
        </w:tc>
      </w:tr>
      <w:tr w14:paraId="61DCC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4D26FE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61A891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接近开关</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0FA7DC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77UN</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150FB0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01A59F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75EE4773">
            <w:pPr>
              <w:rPr>
                <w:rFonts w:hint="eastAsia" w:ascii="宋体" w:hAnsi="宋体" w:eastAsia="宋体" w:cs="宋体"/>
                <w:i w:val="0"/>
                <w:iCs w:val="0"/>
                <w:color w:val="000000"/>
                <w:sz w:val="22"/>
                <w:szCs w:val="22"/>
                <w:u w:val="none"/>
              </w:rPr>
            </w:pPr>
          </w:p>
        </w:tc>
      </w:tr>
      <w:tr w14:paraId="5A84F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5C49CA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0C4755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电源模块</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19597D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24VDC</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0EEDC9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4E7C5A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5D42B81D">
            <w:pPr>
              <w:rPr>
                <w:rFonts w:hint="eastAsia" w:ascii="宋体" w:hAnsi="宋体" w:eastAsia="宋体" w:cs="宋体"/>
                <w:i w:val="0"/>
                <w:iCs w:val="0"/>
                <w:color w:val="000000"/>
                <w:sz w:val="22"/>
                <w:szCs w:val="22"/>
                <w:u w:val="none"/>
              </w:rPr>
            </w:pPr>
          </w:p>
        </w:tc>
      </w:tr>
      <w:tr w14:paraId="01C4C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23E65C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4D961A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光幕</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40331B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35束，IP54</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535751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1560B0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02D9C3A0">
            <w:pPr>
              <w:rPr>
                <w:rFonts w:hint="eastAsia" w:ascii="宋体" w:hAnsi="宋体" w:eastAsia="宋体" w:cs="宋体"/>
                <w:i w:val="0"/>
                <w:iCs w:val="0"/>
                <w:color w:val="000000"/>
                <w:sz w:val="22"/>
                <w:szCs w:val="22"/>
                <w:u w:val="none"/>
              </w:rPr>
            </w:pPr>
          </w:p>
        </w:tc>
      </w:tr>
      <w:tr w14:paraId="3B8E5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10C0F5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0A9EA6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钢丝绳</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7E4638D3">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bdr w:val="none" w:color="auto" w:sz="0" w:space="0"/>
                <w:lang w:val="en-US" w:eastAsia="zh-CN" w:bidi="ar"/>
              </w:rPr>
              <w:t>8mm，钢芯，按</w:t>
            </w:r>
            <w:r>
              <w:rPr>
                <w:rFonts w:hint="eastAsia" w:ascii="宋体" w:hAnsi="宋体" w:eastAsia="宋体" w:cs="宋体"/>
                <w:i w:val="0"/>
                <w:iCs w:val="0"/>
                <w:color w:val="000000"/>
                <w:kern w:val="0"/>
                <w:sz w:val="22"/>
                <w:szCs w:val="22"/>
                <w:u w:val="none"/>
                <w:lang w:val="en-US" w:eastAsia="zh-CN" w:bidi="ar"/>
              </w:rPr>
              <w:t>实际米数收取人工费</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5D484B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5629C4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061C2">
            <w:pPr>
              <w:jc w:val="center"/>
              <w:rPr>
                <w:rFonts w:hint="eastAsia" w:ascii="宋体" w:hAnsi="宋体" w:eastAsia="宋体" w:cs="宋体"/>
                <w:i w:val="0"/>
                <w:iCs w:val="0"/>
                <w:color w:val="000000"/>
                <w:sz w:val="22"/>
                <w:szCs w:val="22"/>
                <w:u w:val="none"/>
              </w:rPr>
            </w:pPr>
          </w:p>
        </w:tc>
      </w:tr>
      <w:tr w14:paraId="75324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3B9E30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481697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钢丝绳</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0E1054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10mm，钢芯</w:t>
            </w:r>
            <w:r>
              <w:rPr>
                <w:rFonts w:hint="eastAsia" w:ascii="宋体" w:hAnsi="宋体" w:eastAsia="宋体" w:cs="宋体"/>
                <w:i w:val="0"/>
                <w:iCs w:val="0"/>
                <w:color w:val="000000"/>
                <w:kern w:val="0"/>
                <w:sz w:val="22"/>
                <w:szCs w:val="22"/>
                <w:u w:val="none"/>
                <w:lang w:val="en-US" w:eastAsia="zh-CN" w:bidi="ar"/>
              </w:rPr>
              <w:t>，按</w:t>
            </w:r>
            <w:r>
              <w:rPr>
                <w:rFonts w:hint="eastAsia" w:ascii="宋体" w:hAnsi="宋体" w:eastAsia="宋体" w:cs="宋体"/>
                <w:i w:val="0"/>
                <w:iCs w:val="0"/>
                <w:color w:val="000000"/>
                <w:kern w:val="0"/>
                <w:sz w:val="22"/>
                <w:szCs w:val="22"/>
                <w:u w:val="none"/>
                <w:lang w:val="en-US" w:eastAsia="zh-CN" w:bidi="ar"/>
              </w:rPr>
              <w:t>实际米数收取人工费</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57AEA4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34F059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073F7">
            <w:pPr>
              <w:jc w:val="center"/>
              <w:rPr>
                <w:rFonts w:hint="eastAsia" w:ascii="宋体" w:hAnsi="宋体" w:eastAsia="宋体" w:cs="宋体"/>
                <w:i w:val="0"/>
                <w:iCs w:val="0"/>
                <w:color w:val="000000"/>
                <w:sz w:val="22"/>
                <w:szCs w:val="22"/>
                <w:u w:val="none"/>
              </w:rPr>
            </w:pPr>
          </w:p>
        </w:tc>
      </w:tr>
      <w:tr w14:paraId="5261B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484387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1D81D0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CPU电脑板</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599955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LCECPU561</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244318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117E45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9E4C1">
            <w:pPr>
              <w:jc w:val="center"/>
              <w:rPr>
                <w:rFonts w:hint="eastAsia" w:ascii="仿宋_GB2312" w:hAnsi="宋体" w:eastAsia="仿宋_GB2312" w:cs="仿宋_GB2312"/>
                <w:i w:val="0"/>
                <w:iCs w:val="0"/>
                <w:color w:val="000000"/>
                <w:sz w:val="22"/>
                <w:szCs w:val="22"/>
                <w:u w:val="none"/>
              </w:rPr>
            </w:pPr>
          </w:p>
        </w:tc>
      </w:tr>
      <w:tr w14:paraId="5FB67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4684FD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236E37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并联板</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7ED72D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LCEGTWO</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348E0C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7C2C8C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C3A7C8">
            <w:pPr>
              <w:jc w:val="center"/>
              <w:rPr>
                <w:rFonts w:hint="default" w:ascii="仿宋_GB2312" w:hAnsi="宋体" w:eastAsia="仿宋_GB2312" w:cs="仿宋_GB2312"/>
                <w:i w:val="0"/>
                <w:iCs w:val="0"/>
                <w:color w:val="000000"/>
                <w:sz w:val="22"/>
                <w:szCs w:val="22"/>
                <w:u w:val="none"/>
              </w:rPr>
            </w:pPr>
          </w:p>
        </w:tc>
      </w:tr>
      <w:tr w14:paraId="6359B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1A581A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74AECA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MX14主机整机更换轴承</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52FEEB9C">
            <w:pPr>
              <w:rPr>
                <w:rFonts w:hint="eastAsia" w:ascii="宋体" w:hAnsi="宋体" w:eastAsia="宋体" w:cs="宋体"/>
                <w:i w:val="0"/>
                <w:iCs w:val="0"/>
                <w:color w:val="000000"/>
                <w:sz w:val="22"/>
                <w:szCs w:val="22"/>
                <w:u w:val="none"/>
              </w:rPr>
            </w:pP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2C1183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602DB4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8E2E5">
            <w:pPr>
              <w:jc w:val="center"/>
              <w:rPr>
                <w:rFonts w:hint="eastAsia" w:ascii="宋体" w:hAnsi="宋体" w:eastAsia="宋体" w:cs="宋体"/>
                <w:i w:val="0"/>
                <w:iCs w:val="0"/>
                <w:color w:val="000000"/>
                <w:sz w:val="22"/>
                <w:szCs w:val="22"/>
                <w:u w:val="none"/>
              </w:rPr>
            </w:pPr>
          </w:p>
        </w:tc>
      </w:tr>
      <w:tr w14:paraId="149BF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2FA522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310F16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NMX11主机整机更换轴承</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0539CD80">
            <w:pPr>
              <w:rPr>
                <w:rFonts w:hint="eastAsia" w:ascii="宋体" w:hAnsi="宋体" w:eastAsia="宋体" w:cs="宋体"/>
                <w:i w:val="0"/>
                <w:iCs w:val="0"/>
                <w:color w:val="000000"/>
                <w:sz w:val="22"/>
                <w:szCs w:val="22"/>
                <w:u w:val="none"/>
              </w:rPr>
            </w:pP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0BE7A4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5FA33F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A4B71">
            <w:pPr>
              <w:jc w:val="center"/>
              <w:rPr>
                <w:rFonts w:hint="eastAsia" w:ascii="宋体" w:hAnsi="宋体" w:eastAsia="宋体" w:cs="宋体"/>
                <w:i w:val="0"/>
                <w:iCs w:val="0"/>
                <w:color w:val="000000"/>
                <w:sz w:val="22"/>
                <w:szCs w:val="22"/>
                <w:u w:val="none"/>
              </w:rPr>
            </w:pPr>
          </w:p>
        </w:tc>
      </w:tr>
      <w:tr w14:paraId="5E1DC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3C8A5D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6E38CF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扶手带</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311D14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KONE BLACK</w:t>
            </w:r>
            <w:r>
              <w:rPr>
                <w:rFonts w:hint="eastAsia" w:ascii="宋体" w:hAnsi="宋体" w:eastAsia="宋体" w:cs="宋体"/>
                <w:i w:val="0"/>
                <w:iCs w:val="0"/>
                <w:color w:val="000000"/>
                <w:kern w:val="0"/>
                <w:sz w:val="22"/>
                <w:szCs w:val="22"/>
                <w:u w:val="none"/>
                <w:lang w:val="en-US" w:eastAsia="zh-CN" w:bidi="ar"/>
              </w:rPr>
              <w:t>，按</w:t>
            </w:r>
            <w:r>
              <w:rPr>
                <w:rFonts w:hint="eastAsia" w:ascii="宋体" w:hAnsi="宋体" w:eastAsia="宋体" w:cs="宋体"/>
                <w:i w:val="0"/>
                <w:iCs w:val="0"/>
                <w:color w:val="000000"/>
                <w:kern w:val="0"/>
                <w:sz w:val="22"/>
                <w:szCs w:val="22"/>
                <w:u w:val="none"/>
                <w:lang w:val="en-US" w:eastAsia="zh-CN" w:bidi="ar"/>
              </w:rPr>
              <w:t>实际米数收取人工费</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0B2AAE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26FBE4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B75CC">
            <w:pPr>
              <w:jc w:val="center"/>
              <w:rPr>
                <w:rFonts w:hint="eastAsia" w:ascii="宋体" w:hAnsi="宋体" w:eastAsia="宋体" w:cs="宋体"/>
                <w:i w:val="0"/>
                <w:iCs w:val="0"/>
                <w:color w:val="000000"/>
                <w:sz w:val="22"/>
                <w:szCs w:val="22"/>
                <w:u w:val="none"/>
              </w:rPr>
            </w:pPr>
          </w:p>
        </w:tc>
      </w:tr>
      <w:tr w14:paraId="34ED3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30AF7F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2F58E0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梯级</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42DC7E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自然铝，1000</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6EA989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067FC3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163CB3F6">
            <w:pPr>
              <w:rPr>
                <w:rFonts w:hint="eastAsia" w:ascii="宋体" w:hAnsi="宋体" w:eastAsia="宋体" w:cs="宋体"/>
                <w:i w:val="0"/>
                <w:iCs w:val="0"/>
                <w:color w:val="000000"/>
                <w:sz w:val="22"/>
                <w:szCs w:val="22"/>
                <w:u w:val="none"/>
              </w:rPr>
            </w:pPr>
          </w:p>
        </w:tc>
      </w:tr>
      <w:tr w14:paraId="25239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442A0A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7F09C1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张紧轮</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244116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OL100张紧轮，D304/306MM</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6681B0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45ABA6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1AB65332">
            <w:pPr>
              <w:rPr>
                <w:rFonts w:hint="eastAsia" w:ascii="宋体" w:hAnsi="宋体" w:eastAsia="宋体" w:cs="宋体"/>
                <w:i w:val="0"/>
                <w:iCs w:val="0"/>
                <w:color w:val="000000"/>
                <w:sz w:val="22"/>
                <w:szCs w:val="22"/>
                <w:u w:val="none"/>
              </w:rPr>
            </w:pPr>
          </w:p>
        </w:tc>
      </w:tr>
      <w:tr w14:paraId="405EE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6E8683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4FB498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油压缓冲器</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180AD6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油压缓冲器YH30/270.V≤2.0 m/s</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232121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284871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29C18051">
            <w:pPr>
              <w:rPr>
                <w:rFonts w:hint="eastAsia" w:ascii="宋体" w:hAnsi="宋体" w:eastAsia="宋体" w:cs="宋体"/>
                <w:i w:val="0"/>
                <w:iCs w:val="0"/>
                <w:color w:val="000000"/>
                <w:sz w:val="22"/>
                <w:szCs w:val="22"/>
                <w:u w:val="none"/>
              </w:rPr>
            </w:pPr>
          </w:p>
        </w:tc>
      </w:tr>
      <w:tr w14:paraId="1BBBB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754C8B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329B8E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门刀</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25315C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门刀，带轿门锁R2中分NH=300</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6477C5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345374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766CC895">
            <w:pPr>
              <w:rPr>
                <w:rFonts w:hint="eastAsia" w:ascii="宋体" w:hAnsi="宋体" w:eastAsia="宋体" w:cs="宋体"/>
                <w:i w:val="0"/>
                <w:iCs w:val="0"/>
                <w:color w:val="000000"/>
                <w:sz w:val="22"/>
                <w:szCs w:val="22"/>
                <w:u w:val="none"/>
              </w:rPr>
            </w:pPr>
          </w:p>
        </w:tc>
      </w:tr>
      <w:tr w14:paraId="0983E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0B60C5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09C1E3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制动模块</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4B97FF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制动模块，BCX08</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1D5F8D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36740C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4245427C">
            <w:pPr>
              <w:rPr>
                <w:rFonts w:hint="eastAsia" w:ascii="宋体" w:hAnsi="宋体" w:eastAsia="宋体" w:cs="宋体"/>
                <w:i w:val="0"/>
                <w:iCs w:val="0"/>
                <w:color w:val="000000"/>
                <w:sz w:val="22"/>
                <w:szCs w:val="22"/>
                <w:u w:val="none"/>
              </w:rPr>
            </w:pPr>
          </w:p>
        </w:tc>
      </w:tr>
      <w:tr w14:paraId="1104A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5D40A3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1F3C15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电子板</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278AC7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电子板LCECPU561</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7E123B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73EE3D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7A7E019A">
            <w:pPr>
              <w:rPr>
                <w:rFonts w:hint="eastAsia" w:ascii="宋体" w:hAnsi="宋体" w:eastAsia="宋体" w:cs="宋体"/>
                <w:i w:val="0"/>
                <w:iCs w:val="0"/>
                <w:color w:val="000000"/>
                <w:sz w:val="22"/>
                <w:szCs w:val="22"/>
                <w:u w:val="none"/>
              </w:rPr>
            </w:pPr>
          </w:p>
        </w:tc>
      </w:tr>
      <w:tr w14:paraId="41D6B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13AF68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794698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安全回路板</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43C46A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KM50006052G01</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115820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4CA87E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7FC0FCA4">
            <w:pPr>
              <w:rPr>
                <w:rFonts w:hint="eastAsia" w:ascii="宋体" w:hAnsi="宋体" w:eastAsia="宋体" w:cs="宋体"/>
                <w:i w:val="0"/>
                <w:iCs w:val="0"/>
                <w:color w:val="000000"/>
                <w:sz w:val="22"/>
                <w:szCs w:val="22"/>
                <w:u w:val="none"/>
              </w:rPr>
            </w:pPr>
          </w:p>
        </w:tc>
      </w:tr>
      <w:tr w14:paraId="03B3C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165C01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444C18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电子板</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62914D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KM50027064G03</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3E3A93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649DC0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7710A124">
            <w:pPr>
              <w:rPr>
                <w:rFonts w:hint="eastAsia" w:ascii="宋体" w:hAnsi="宋体" w:eastAsia="宋体" w:cs="宋体"/>
                <w:i w:val="0"/>
                <w:iCs w:val="0"/>
                <w:color w:val="000000"/>
                <w:sz w:val="22"/>
                <w:szCs w:val="22"/>
                <w:u w:val="none"/>
              </w:rPr>
            </w:pPr>
          </w:p>
        </w:tc>
      </w:tr>
      <w:tr w14:paraId="67820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2C3028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33</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4CA859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LCEOPT选项板</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56A3FF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KM713150G13</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7E9C4E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1B29D0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44BB68BE">
            <w:pPr>
              <w:rPr>
                <w:rFonts w:hint="eastAsia" w:ascii="宋体" w:hAnsi="宋体" w:eastAsia="宋体" w:cs="宋体"/>
                <w:i w:val="0"/>
                <w:iCs w:val="0"/>
                <w:color w:val="000000"/>
                <w:sz w:val="22"/>
                <w:szCs w:val="22"/>
                <w:u w:val="none"/>
              </w:rPr>
            </w:pPr>
          </w:p>
        </w:tc>
      </w:tr>
      <w:tr w14:paraId="2554F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4FC654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34</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5FC348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MX14转子包</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072BB7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KM52202214V000</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1BF628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7E27CE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51A53906">
            <w:pPr>
              <w:rPr>
                <w:rFonts w:hint="eastAsia" w:ascii="宋体" w:hAnsi="宋体" w:eastAsia="宋体" w:cs="宋体"/>
                <w:i w:val="0"/>
                <w:iCs w:val="0"/>
                <w:color w:val="000000"/>
                <w:sz w:val="22"/>
                <w:szCs w:val="22"/>
                <w:u w:val="none"/>
              </w:rPr>
            </w:pPr>
          </w:p>
        </w:tc>
      </w:tr>
      <w:tr w14:paraId="6EF3B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36A067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5C9FCE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MX14主机</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413389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KM-MX14</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49ACCD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5CEC16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41DD6C51">
            <w:pPr>
              <w:rPr>
                <w:rFonts w:hint="eastAsia" w:ascii="宋体" w:hAnsi="宋体" w:eastAsia="宋体" w:cs="宋体"/>
                <w:i w:val="0"/>
                <w:iCs w:val="0"/>
                <w:color w:val="000000"/>
                <w:sz w:val="22"/>
                <w:szCs w:val="22"/>
                <w:u w:val="none"/>
              </w:rPr>
            </w:pPr>
          </w:p>
        </w:tc>
      </w:tr>
      <w:tr w14:paraId="21D8F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162D31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36</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0BC1FC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抱闸</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128BD2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MX14抱闸，制动力1440 L</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2A7277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6E8B89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769317A8">
            <w:pPr>
              <w:rPr>
                <w:rFonts w:hint="eastAsia" w:ascii="宋体" w:hAnsi="宋体" w:eastAsia="宋体" w:cs="宋体"/>
                <w:i w:val="0"/>
                <w:iCs w:val="0"/>
                <w:color w:val="000000"/>
                <w:sz w:val="22"/>
                <w:szCs w:val="22"/>
                <w:u w:val="none"/>
              </w:rPr>
            </w:pPr>
          </w:p>
        </w:tc>
      </w:tr>
      <w:tr w14:paraId="394F9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25F77D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37</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076552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运动控制板</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51CB2F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PCB运动控制板</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5DEEE2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2ED7D7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68EB23E6">
            <w:pPr>
              <w:rPr>
                <w:rFonts w:hint="eastAsia" w:ascii="宋体" w:hAnsi="宋体" w:eastAsia="宋体" w:cs="宋体"/>
                <w:i w:val="0"/>
                <w:iCs w:val="0"/>
                <w:color w:val="000000"/>
                <w:sz w:val="22"/>
                <w:szCs w:val="22"/>
                <w:u w:val="none"/>
              </w:rPr>
            </w:pPr>
          </w:p>
        </w:tc>
      </w:tr>
      <w:tr w14:paraId="44BAA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55C9E9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38</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699270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驱动国产化</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6566F6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驱动国产化，KR6 40A IP23</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0A787D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171966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40727203">
            <w:pPr>
              <w:rPr>
                <w:rFonts w:hint="eastAsia" w:ascii="宋体" w:hAnsi="宋体" w:eastAsia="宋体" w:cs="宋体"/>
                <w:i w:val="0"/>
                <w:iCs w:val="0"/>
                <w:color w:val="000000"/>
                <w:sz w:val="22"/>
                <w:szCs w:val="22"/>
                <w:u w:val="none"/>
              </w:rPr>
            </w:pPr>
          </w:p>
        </w:tc>
      </w:tr>
      <w:tr w14:paraId="4FFDF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7E848E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11484A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限速器</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5238FC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OL35限速器</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6ECD34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580274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7C7BDC95">
            <w:pPr>
              <w:rPr>
                <w:rFonts w:hint="eastAsia" w:ascii="宋体" w:hAnsi="宋体" w:eastAsia="宋体" w:cs="宋体"/>
                <w:i w:val="0"/>
                <w:iCs w:val="0"/>
                <w:color w:val="000000"/>
                <w:sz w:val="22"/>
                <w:szCs w:val="22"/>
                <w:u w:val="none"/>
              </w:rPr>
            </w:pPr>
          </w:p>
        </w:tc>
      </w:tr>
      <w:tr w14:paraId="52E97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35CCDD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1FC4DA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驱动模组</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403C01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KDL16L 驱动模组，18A 400V</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22ECA4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5D295B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3E961941">
            <w:pPr>
              <w:rPr>
                <w:rFonts w:hint="eastAsia" w:ascii="宋体" w:hAnsi="宋体" w:eastAsia="宋体" w:cs="宋体"/>
                <w:i w:val="0"/>
                <w:iCs w:val="0"/>
                <w:color w:val="000000"/>
                <w:sz w:val="22"/>
                <w:szCs w:val="22"/>
                <w:u w:val="none"/>
              </w:rPr>
            </w:pPr>
          </w:p>
        </w:tc>
      </w:tr>
      <w:tr w14:paraId="46FA6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76D368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41</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4891C6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主接触器</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1E8C0B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主接触器(SIEMENS)</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5B13F7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26D3CD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5BC6E2F2">
            <w:pPr>
              <w:rPr>
                <w:rFonts w:hint="eastAsia" w:ascii="宋体" w:hAnsi="宋体" w:eastAsia="宋体" w:cs="宋体"/>
                <w:i w:val="0"/>
                <w:iCs w:val="0"/>
                <w:color w:val="000000"/>
                <w:sz w:val="22"/>
                <w:szCs w:val="22"/>
                <w:u w:val="none"/>
              </w:rPr>
            </w:pPr>
          </w:p>
        </w:tc>
      </w:tr>
      <w:tr w14:paraId="6876E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66BCC4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42</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43A442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变压器</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347B00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AMD15变压器</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6D6EE7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68172B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5A063087">
            <w:pPr>
              <w:rPr>
                <w:rFonts w:hint="eastAsia" w:ascii="宋体" w:hAnsi="宋体" w:eastAsia="宋体" w:cs="宋体"/>
                <w:i w:val="0"/>
                <w:iCs w:val="0"/>
                <w:color w:val="000000"/>
                <w:sz w:val="22"/>
                <w:szCs w:val="22"/>
                <w:u w:val="none"/>
              </w:rPr>
            </w:pPr>
          </w:p>
        </w:tc>
      </w:tr>
      <w:tr w14:paraId="40A4B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7E261A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43</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4D8985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门机板</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6BB056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AMD DRIVE 15P SPARE ASSEMBLY</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3B6B7F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6E843D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783892DE">
            <w:pPr>
              <w:rPr>
                <w:rFonts w:hint="eastAsia" w:ascii="宋体" w:hAnsi="宋体" w:eastAsia="宋体" w:cs="宋体"/>
                <w:i w:val="0"/>
                <w:iCs w:val="0"/>
                <w:color w:val="000000"/>
                <w:sz w:val="22"/>
                <w:szCs w:val="22"/>
                <w:u w:val="none"/>
              </w:rPr>
            </w:pPr>
          </w:p>
        </w:tc>
      </w:tr>
      <w:tr w14:paraId="1C53F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28CC6C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44</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668847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扶手带驱动链</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3C84F9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GK21500101V36扶手驱动链16A-2</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119BBC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4E9496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16F7EDD5">
            <w:pPr>
              <w:rPr>
                <w:rFonts w:hint="eastAsia" w:ascii="宋体" w:hAnsi="宋体" w:eastAsia="宋体" w:cs="宋体"/>
                <w:i w:val="0"/>
                <w:iCs w:val="0"/>
                <w:color w:val="000000"/>
                <w:sz w:val="22"/>
                <w:szCs w:val="22"/>
                <w:u w:val="none"/>
              </w:rPr>
            </w:pPr>
          </w:p>
        </w:tc>
      </w:tr>
      <w:tr w14:paraId="0A890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4F0841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7C5FDE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导向轮</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6DBFF2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导向轮D410/D65MM 8XD10MM</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4F4616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6851FF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4E4FDE1D">
            <w:pPr>
              <w:rPr>
                <w:rFonts w:hint="eastAsia" w:ascii="宋体" w:hAnsi="宋体" w:eastAsia="宋体" w:cs="宋体"/>
                <w:i w:val="0"/>
                <w:iCs w:val="0"/>
                <w:color w:val="000000"/>
                <w:sz w:val="22"/>
                <w:szCs w:val="22"/>
                <w:u w:val="none"/>
              </w:rPr>
            </w:pPr>
          </w:p>
        </w:tc>
      </w:tr>
      <w:tr w14:paraId="6BC19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779C6C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46</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340073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轿顶反绳轮</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6324C3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330/D78mm/ 5XD8mm</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0C9D45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4F0ED4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7A288EDB">
            <w:pPr>
              <w:rPr>
                <w:rFonts w:hint="eastAsia" w:ascii="宋体" w:hAnsi="宋体" w:eastAsia="宋体" w:cs="宋体"/>
                <w:i w:val="0"/>
                <w:iCs w:val="0"/>
                <w:color w:val="000000"/>
                <w:sz w:val="22"/>
                <w:szCs w:val="22"/>
                <w:u w:val="none"/>
              </w:rPr>
            </w:pPr>
          </w:p>
        </w:tc>
      </w:tr>
      <w:tr w14:paraId="193C4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544C60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47</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69DBBA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轿顶板</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57B7DA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KM50025436G33</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0A24A3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0D98B3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0D002916">
            <w:pPr>
              <w:rPr>
                <w:rFonts w:hint="eastAsia" w:ascii="宋体" w:hAnsi="宋体" w:eastAsia="宋体" w:cs="宋体"/>
                <w:i w:val="0"/>
                <w:iCs w:val="0"/>
                <w:color w:val="000000"/>
                <w:sz w:val="22"/>
                <w:szCs w:val="22"/>
                <w:u w:val="none"/>
              </w:rPr>
            </w:pPr>
          </w:p>
        </w:tc>
      </w:tr>
      <w:tr w14:paraId="6DD25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0A0A3A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48</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36AF43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轿顶板</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0352F3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KM50025436G32</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0DE731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350819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1BEF8A4E">
            <w:pPr>
              <w:rPr>
                <w:rFonts w:hint="eastAsia" w:ascii="宋体" w:hAnsi="宋体" w:eastAsia="宋体" w:cs="宋体"/>
                <w:i w:val="0"/>
                <w:iCs w:val="0"/>
                <w:color w:val="000000"/>
                <w:sz w:val="22"/>
                <w:szCs w:val="22"/>
                <w:u w:val="none"/>
              </w:rPr>
            </w:pPr>
          </w:p>
        </w:tc>
      </w:tr>
      <w:tr w14:paraId="7A644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5B4149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49</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01AB88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轿顶检修盒</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64B9B8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KM713856G42</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0458F0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464B45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6909B27A">
            <w:pPr>
              <w:rPr>
                <w:rFonts w:hint="eastAsia" w:ascii="宋体" w:hAnsi="宋体" w:eastAsia="宋体" w:cs="宋体"/>
                <w:i w:val="0"/>
                <w:iCs w:val="0"/>
                <w:color w:val="000000"/>
                <w:sz w:val="22"/>
                <w:szCs w:val="22"/>
                <w:u w:val="none"/>
              </w:rPr>
            </w:pPr>
          </w:p>
        </w:tc>
      </w:tr>
      <w:tr w14:paraId="5AF3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3EB72C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70860A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抱闸</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7F7456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NMX11抱闸990L</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5A7EE3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72CCF6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7CA68269">
            <w:pPr>
              <w:rPr>
                <w:rFonts w:hint="eastAsia" w:ascii="宋体" w:hAnsi="宋体" w:eastAsia="宋体" w:cs="宋体"/>
                <w:i w:val="0"/>
                <w:iCs w:val="0"/>
                <w:color w:val="000000"/>
                <w:sz w:val="22"/>
                <w:szCs w:val="22"/>
                <w:u w:val="none"/>
              </w:rPr>
            </w:pPr>
          </w:p>
        </w:tc>
      </w:tr>
      <w:tr w14:paraId="7F917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606599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51</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3A2D1A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编码器总成</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306DB5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KM51035304V001</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2DAA03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3D3B6A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61E9AADB">
            <w:pPr>
              <w:rPr>
                <w:rFonts w:hint="eastAsia" w:ascii="宋体" w:hAnsi="宋体" w:eastAsia="宋体" w:cs="宋体"/>
                <w:i w:val="0"/>
                <w:iCs w:val="0"/>
                <w:color w:val="000000"/>
                <w:sz w:val="22"/>
                <w:szCs w:val="22"/>
                <w:u w:val="none"/>
              </w:rPr>
            </w:pPr>
          </w:p>
        </w:tc>
      </w:tr>
      <w:tr w14:paraId="1AB9A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461416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52</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64AA5E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限速器</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0C998C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PB73.3限速器</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48E309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7DD2FC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64A1B1CA">
            <w:pPr>
              <w:rPr>
                <w:rFonts w:hint="eastAsia" w:ascii="宋体" w:hAnsi="宋体" w:eastAsia="宋体" w:cs="宋体"/>
                <w:i w:val="0"/>
                <w:iCs w:val="0"/>
                <w:color w:val="000000"/>
                <w:sz w:val="22"/>
                <w:szCs w:val="22"/>
                <w:u w:val="none"/>
              </w:rPr>
            </w:pPr>
          </w:p>
        </w:tc>
      </w:tr>
      <w:tr w14:paraId="7D9BD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2FEC93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53</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2B4008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进口驱动模块</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7D8283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KR6 40A IP23</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0F703A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41EDA1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5E1F3092">
            <w:pPr>
              <w:rPr>
                <w:rFonts w:hint="eastAsia" w:ascii="宋体" w:hAnsi="宋体" w:eastAsia="宋体" w:cs="宋体"/>
                <w:i w:val="0"/>
                <w:iCs w:val="0"/>
                <w:color w:val="000000"/>
                <w:sz w:val="22"/>
                <w:szCs w:val="22"/>
                <w:u w:val="none"/>
              </w:rPr>
            </w:pPr>
          </w:p>
        </w:tc>
      </w:tr>
      <w:tr w14:paraId="36AE2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6067C5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54</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1282C5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光幕</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3B99D5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FCU0735FL12</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1A51D6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60656F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49819B4D">
            <w:pPr>
              <w:rPr>
                <w:rFonts w:hint="eastAsia" w:ascii="宋体" w:hAnsi="宋体" w:eastAsia="宋体" w:cs="宋体"/>
                <w:i w:val="0"/>
                <w:iCs w:val="0"/>
                <w:color w:val="000000"/>
                <w:sz w:val="22"/>
                <w:szCs w:val="22"/>
                <w:u w:val="none"/>
              </w:rPr>
            </w:pPr>
          </w:p>
        </w:tc>
      </w:tr>
      <w:tr w14:paraId="763E3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726EED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7FD6B0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涨紧轮组件</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787D2F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EE12 KM51400830</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529E20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62B1C7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1F2CE663">
            <w:pPr>
              <w:rPr>
                <w:rFonts w:hint="eastAsia" w:ascii="宋体" w:hAnsi="宋体" w:eastAsia="宋体" w:cs="宋体"/>
                <w:i w:val="0"/>
                <w:iCs w:val="0"/>
                <w:color w:val="000000"/>
                <w:sz w:val="22"/>
                <w:szCs w:val="22"/>
                <w:u w:val="none"/>
              </w:rPr>
            </w:pPr>
          </w:p>
        </w:tc>
      </w:tr>
      <w:tr w14:paraId="5EF99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77EB46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56</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41426F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SLG2滑动导靴</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6E65A5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16mm</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29F5C6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6485F8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6EC60670">
            <w:pPr>
              <w:rPr>
                <w:rFonts w:hint="eastAsia" w:ascii="宋体" w:hAnsi="宋体" w:eastAsia="宋体" w:cs="宋体"/>
                <w:i w:val="0"/>
                <w:iCs w:val="0"/>
                <w:color w:val="000000"/>
                <w:sz w:val="22"/>
                <w:szCs w:val="22"/>
                <w:u w:val="none"/>
              </w:rPr>
            </w:pPr>
          </w:p>
        </w:tc>
      </w:tr>
      <w:tr w14:paraId="71131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6238E9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57</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5DF18A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导向轮</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755C83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KM662189G06</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119F34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32ABDF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24AF6C03">
            <w:pPr>
              <w:rPr>
                <w:rFonts w:hint="eastAsia" w:ascii="宋体" w:hAnsi="宋体" w:eastAsia="宋体" w:cs="宋体"/>
                <w:i w:val="0"/>
                <w:iCs w:val="0"/>
                <w:color w:val="000000"/>
                <w:sz w:val="22"/>
                <w:szCs w:val="22"/>
                <w:u w:val="none"/>
              </w:rPr>
            </w:pPr>
          </w:p>
        </w:tc>
      </w:tr>
      <w:tr w14:paraId="3439A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157866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58</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76353E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限速器和涨紧</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67F680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KM51079203</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7806CF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5AACA2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748FB781">
            <w:pPr>
              <w:rPr>
                <w:rFonts w:hint="eastAsia" w:ascii="宋体" w:hAnsi="宋体" w:eastAsia="宋体" w:cs="宋体"/>
                <w:i w:val="0"/>
                <w:iCs w:val="0"/>
                <w:color w:val="000000"/>
                <w:sz w:val="22"/>
                <w:szCs w:val="22"/>
                <w:u w:val="none"/>
              </w:rPr>
            </w:pPr>
          </w:p>
        </w:tc>
      </w:tr>
      <w:tr w14:paraId="503C5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467" w:type="dxa"/>
            <w:tcBorders>
              <w:top w:val="single" w:color="000000" w:sz="4" w:space="0"/>
              <w:left w:val="single" w:color="000000" w:sz="4" w:space="0"/>
              <w:bottom w:val="single" w:color="000000" w:sz="4" w:space="0"/>
              <w:right w:val="single" w:color="000000" w:sz="4" w:space="0"/>
            </w:tcBorders>
            <w:shd w:val="clear"/>
            <w:noWrap/>
            <w:vAlign w:val="center"/>
          </w:tcPr>
          <w:p w14:paraId="0FBDC1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59</w:t>
            </w:r>
          </w:p>
        </w:tc>
        <w:tc>
          <w:tcPr>
            <w:tcW w:w="2581" w:type="dxa"/>
            <w:tcBorders>
              <w:top w:val="single" w:color="000000" w:sz="4" w:space="0"/>
              <w:left w:val="single" w:color="000000" w:sz="4" w:space="0"/>
              <w:bottom w:val="single" w:color="000000" w:sz="4" w:space="0"/>
              <w:right w:val="single" w:color="000000" w:sz="4" w:space="0"/>
            </w:tcBorders>
            <w:shd w:val="clear"/>
            <w:noWrap/>
            <w:vAlign w:val="center"/>
          </w:tcPr>
          <w:p w14:paraId="495C38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扶梯控制板</w:t>
            </w:r>
          </w:p>
        </w:tc>
        <w:tc>
          <w:tcPr>
            <w:tcW w:w="3736" w:type="dxa"/>
            <w:tcBorders>
              <w:top w:val="single" w:color="000000" w:sz="4" w:space="0"/>
              <w:left w:val="single" w:color="000000" w:sz="4" w:space="0"/>
              <w:bottom w:val="single" w:color="000000" w:sz="4" w:space="0"/>
              <w:right w:val="single" w:color="000000" w:sz="4" w:space="0"/>
            </w:tcBorders>
            <w:shd w:val="clear"/>
            <w:noWrap/>
            <w:vAlign w:val="center"/>
          </w:tcPr>
          <w:p w14:paraId="6A2EDF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KM51324580V003</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30DF35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PC</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14:paraId="09DB9A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noWrap/>
            <w:vAlign w:val="center"/>
          </w:tcPr>
          <w:p w14:paraId="25E3D856">
            <w:pPr>
              <w:rPr>
                <w:rFonts w:hint="eastAsia" w:ascii="宋体" w:hAnsi="宋体" w:eastAsia="宋体" w:cs="宋体"/>
                <w:i w:val="0"/>
                <w:iCs w:val="0"/>
                <w:color w:val="000000"/>
                <w:sz w:val="22"/>
                <w:szCs w:val="22"/>
                <w:u w:val="none"/>
              </w:rPr>
            </w:pPr>
          </w:p>
        </w:tc>
      </w:tr>
      <w:tr w14:paraId="23410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7" w:hRule="atLeast"/>
          <w:jc w:val="center"/>
        </w:trPr>
        <w:tc>
          <w:tcPr>
            <w:tcW w:w="10417" w:type="dxa"/>
            <w:gridSpan w:val="6"/>
            <w:tcBorders>
              <w:top w:val="single" w:color="000000" w:sz="4" w:space="0"/>
              <w:left w:val="single" w:color="000000" w:sz="4" w:space="0"/>
              <w:bottom w:val="single" w:color="000000" w:sz="4" w:space="0"/>
              <w:right w:val="single" w:color="000000" w:sz="4" w:space="0"/>
            </w:tcBorders>
            <w:shd w:val="clear"/>
            <w:vAlign w:val="center"/>
          </w:tcPr>
          <w:p w14:paraId="70651E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说明：</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1、以上报价为含税价。</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2、以上报价已包含对应配件的安装费用，配件费用含全包单价，除</w:t>
            </w:r>
            <w:r>
              <w:rPr>
                <w:rFonts w:hint="eastAsia" w:ascii="宋体" w:hAnsi="宋体" w:eastAsia="宋体" w:cs="宋体"/>
                <w:i w:val="0"/>
                <w:iCs w:val="0"/>
                <w:color w:val="000000"/>
                <w:kern w:val="0"/>
                <w:sz w:val="22"/>
                <w:szCs w:val="22"/>
                <w:u w:val="none"/>
                <w:lang w:val="en-US" w:eastAsia="zh-CN" w:bidi="ar"/>
              </w:rPr>
              <w:t>钢丝绳和扶手带外，</w:t>
            </w:r>
            <w:r>
              <w:rPr>
                <w:rFonts w:hint="eastAsia" w:ascii="宋体" w:hAnsi="宋体" w:eastAsia="宋体" w:cs="宋体"/>
                <w:i w:val="0"/>
                <w:iCs w:val="0"/>
                <w:color w:val="000000"/>
                <w:kern w:val="0"/>
                <w:sz w:val="22"/>
                <w:szCs w:val="22"/>
                <w:u w:val="none"/>
                <w:bdr w:val="none" w:color="auto" w:sz="0" w:space="0"/>
                <w:lang w:val="en-US" w:eastAsia="zh-CN" w:bidi="ar"/>
              </w:rPr>
              <w:t>不另外收取人工费。</w:t>
            </w:r>
          </w:p>
        </w:tc>
      </w:tr>
    </w:tbl>
    <w:p w14:paraId="29937397">
      <w:pPr>
        <w:ind w:firstLine="720" w:firstLineChars="300"/>
        <w:rPr>
          <w:rFonts w:hint="eastAsia" w:ascii="宋体" w:hAnsi="宋体"/>
          <w:bCs/>
          <w:sz w:val="24"/>
        </w:rPr>
      </w:pPr>
      <w:r>
        <w:rPr>
          <w:rFonts w:hint="eastAsia" w:ascii="宋体" w:hAnsi="宋体"/>
          <w:bCs/>
          <w:sz w:val="24"/>
        </w:rPr>
        <w:t>法定代表人（或被授权人）（手签）：                                年   月  日</w:t>
      </w:r>
    </w:p>
    <w:p w14:paraId="54305BEC">
      <w:pPr>
        <w:ind w:firstLine="720" w:firstLineChars="300"/>
        <w:rPr>
          <w:rFonts w:hint="eastAsia" w:ascii="宋体" w:hAnsi="宋体"/>
          <w:bCs/>
          <w:sz w:val="24"/>
        </w:rPr>
      </w:pPr>
    </w:p>
    <w:p w14:paraId="09FD7455">
      <w:pPr>
        <w:widowControl/>
        <w:jc w:val="center"/>
        <w:rPr>
          <w:rFonts w:hint="eastAsia" w:ascii="宋体" w:hAnsi="宋体" w:cs="Arial"/>
          <w:b/>
          <w:bCs/>
          <w:kern w:val="0"/>
          <w:sz w:val="32"/>
          <w:szCs w:val="32"/>
          <w:lang w:val="en-US" w:eastAsia="zh-CN"/>
        </w:rPr>
      </w:pPr>
      <w:r>
        <w:rPr>
          <w:rFonts w:hint="eastAsia" w:ascii="宋体" w:hAnsi="宋体" w:cs="Arial"/>
          <w:b/>
          <w:bCs/>
          <w:kern w:val="0"/>
          <w:sz w:val="32"/>
          <w:szCs w:val="32"/>
          <w:lang w:val="en-US" w:eastAsia="zh-CN"/>
        </w:rPr>
        <w:t>营业执照</w:t>
      </w:r>
    </w:p>
    <w:tbl>
      <w:tblPr>
        <w:tblStyle w:val="5"/>
        <w:tblW w:w="8660" w:type="dxa"/>
        <w:jc w:val="center"/>
        <w:tblLayout w:type="fixed"/>
        <w:tblCellMar>
          <w:top w:w="0" w:type="dxa"/>
          <w:left w:w="0" w:type="dxa"/>
          <w:bottom w:w="0" w:type="dxa"/>
          <w:right w:w="0" w:type="dxa"/>
        </w:tblCellMar>
      </w:tblPr>
      <w:tblGrid>
        <w:gridCol w:w="8660"/>
      </w:tblGrid>
      <w:tr w14:paraId="1B66F047">
        <w:tblPrEx>
          <w:tblCellMar>
            <w:top w:w="0" w:type="dxa"/>
            <w:left w:w="0" w:type="dxa"/>
            <w:bottom w:w="0" w:type="dxa"/>
            <w:right w:w="0" w:type="dxa"/>
          </w:tblCellMar>
        </w:tblPrEx>
        <w:trPr>
          <w:trHeight w:val="12590" w:hRule="atLeast"/>
          <w:jc w:val="center"/>
        </w:trPr>
        <w:tc>
          <w:tcPr>
            <w:tcW w:w="8660" w:type="dxa"/>
            <w:tcBorders>
              <w:top w:val="inset" w:color="auto" w:sz="6" w:space="0"/>
              <w:left w:val="inset" w:color="auto" w:sz="6" w:space="0"/>
              <w:bottom w:val="inset" w:color="auto" w:sz="6" w:space="0"/>
              <w:right w:val="inset" w:color="auto" w:sz="6" w:space="0"/>
            </w:tcBorders>
            <w:noWrap w:val="0"/>
            <w:vAlign w:val="top"/>
          </w:tcPr>
          <w:p w14:paraId="7F8E97DC">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ascii="宋体" w:hAnsi="宋体"/>
                <w:color w:val="000000"/>
                <w:kern w:val="0"/>
                <w:sz w:val="24"/>
              </w:rPr>
            </w:pPr>
            <w:r>
              <w:rPr>
                <w:rFonts w:hint="eastAsia" w:ascii="宋体" w:hAnsi="宋体"/>
                <w:color w:val="FF0000"/>
                <w:kern w:val="0"/>
                <w:sz w:val="27"/>
                <w:szCs w:val="27"/>
                <w:lang w:val="en-US" w:eastAsia="zh-CN"/>
              </w:rPr>
              <w:t>响应人为公司、企业集体的必须提供</w:t>
            </w:r>
            <w:r>
              <w:rPr>
                <w:rFonts w:hint="eastAsia" w:ascii="宋体" w:hAnsi="宋体"/>
                <w:color w:val="FF0000"/>
                <w:kern w:val="0"/>
                <w:sz w:val="27"/>
                <w:szCs w:val="27"/>
              </w:rPr>
              <w:t>（复印件</w:t>
            </w:r>
            <w:r>
              <w:rPr>
                <w:rFonts w:hint="eastAsia" w:ascii="宋体" w:hAnsi="宋体"/>
                <w:color w:val="FF0000"/>
                <w:kern w:val="0"/>
                <w:sz w:val="27"/>
                <w:szCs w:val="27"/>
                <w:lang w:val="en-US" w:eastAsia="zh-CN"/>
              </w:rPr>
              <w:t>加盖公章</w:t>
            </w:r>
            <w:r>
              <w:rPr>
                <w:rFonts w:hint="eastAsia" w:ascii="宋体" w:hAnsi="宋体"/>
                <w:color w:val="FF0000"/>
                <w:kern w:val="0"/>
                <w:sz w:val="27"/>
                <w:szCs w:val="27"/>
              </w:rPr>
              <w:t>）</w:t>
            </w:r>
          </w:p>
        </w:tc>
      </w:tr>
    </w:tbl>
    <w:p w14:paraId="2DA42496">
      <w:pPr>
        <w:pStyle w:val="2"/>
        <w:rPr>
          <w:rFonts w:hint="eastAsia"/>
        </w:rPr>
      </w:pPr>
    </w:p>
    <w:sectPr>
      <w:pgSz w:w="11906" w:h="16838"/>
      <w:pgMar w:top="986" w:right="1066" w:bottom="986" w:left="1066"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KTypeMedium">
    <w:altName w:val="Impact"/>
    <w:panose1 w:val="020B0606040000020004"/>
    <w:charset w:val="00"/>
    <w:family w:val="swiss"/>
    <w:pitch w:val="default"/>
    <w:sig w:usb0="00000000" w:usb1="00000000" w:usb2="00000000" w:usb3="00000000" w:csb0="00000001" w:csb1="00000000"/>
  </w:font>
  <w:font w:name="Impact">
    <w:panose1 w:val="020B0806030902050204"/>
    <w:charset w:val="00"/>
    <w:family w:val="auto"/>
    <w:pitch w:val="default"/>
    <w:sig w:usb0="00000287" w:usb1="00000000" w:usb2="00000000" w:usb3="00000000" w:csb0="2000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BlMzRlOWY5ZTdhYzEyYjM4YmE5NjRmNDI2MzYzNDEifQ=="/>
  </w:docVars>
  <w:rsids>
    <w:rsidRoot w:val="752F39C1"/>
    <w:rsid w:val="076947F6"/>
    <w:rsid w:val="09D9119E"/>
    <w:rsid w:val="0B3F3C9B"/>
    <w:rsid w:val="0E980703"/>
    <w:rsid w:val="110A152A"/>
    <w:rsid w:val="150F3CC6"/>
    <w:rsid w:val="15A32C3A"/>
    <w:rsid w:val="1901601B"/>
    <w:rsid w:val="19E51499"/>
    <w:rsid w:val="1E3E2B61"/>
    <w:rsid w:val="21A87DC0"/>
    <w:rsid w:val="231B5F2B"/>
    <w:rsid w:val="290F208E"/>
    <w:rsid w:val="2C420C67"/>
    <w:rsid w:val="2FDC04CE"/>
    <w:rsid w:val="335F3C12"/>
    <w:rsid w:val="45D74076"/>
    <w:rsid w:val="460A5C60"/>
    <w:rsid w:val="473D3E13"/>
    <w:rsid w:val="478C79CB"/>
    <w:rsid w:val="50F64E3D"/>
    <w:rsid w:val="5EC56770"/>
    <w:rsid w:val="627964E1"/>
    <w:rsid w:val="66F6590E"/>
    <w:rsid w:val="68994EF5"/>
    <w:rsid w:val="6CCF6101"/>
    <w:rsid w:val="6F8166E3"/>
    <w:rsid w:val="71BC4D80"/>
    <w:rsid w:val="752F39C1"/>
    <w:rsid w:val="756D41B6"/>
    <w:rsid w:val="7B2C0E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unhideWhenUsed/>
    <w:qFormat/>
    <w:uiPriority w:val="99"/>
    <w:pPr>
      <w:spacing w:after="120"/>
    </w:pPr>
  </w:style>
  <w:style w:type="paragraph" w:styleId="3">
    <w:name w:val="Block Text"/>
    <w:basedOn w:val="1"/>
    <w:autoRedefine/>
    <w:qFormat/>
    <w:uiPriority w:val="0"/>
    <w:pPr>
      <w:spacing w:after="120"/>
      <w:ind w:left="700" w:leftChars="700" w:right="700" w:rightChars="700"/>
    </w:pPr>
  </w:style>
  <w:style w:type="paragraph" w:styleId="4">
    <w:name w:val="Normal (Web)"/>
    <w:basedOn w:val="1"/>
    <w:unhideWhenUsed/>
    <w:qFormat/>
    <w:uiPriority w:val="99"/>
    <w:pPr>
      <w:widowControl/>
      <w:spacing w:before="100" w:beforeAutospacing="1" w:after="100" w:afterAutospacing="1"/>
      <w:jc w:val="left"/>
    </w:pPr>
    <w:rPr>
      <w:rFonts w:hint="default" w:hAnsi="宋体" w:cs="宋体"/>
      <w:sz w:val="24"/>
      <w:szCs w:val="24"/>
    </w:rPr>
  </w:style>
  <w:style w:type="character" w:customStyle="1" w:styleId="7">
    <w:name w:val="font31"/>
    <w:basedOn w:val="6"/>
    <w:autoRedefine/>
    <w:qFormat/>
    <w:uiPriority w:val="0"/>
    <w:rPr>
      <w:rFonts w:ascii="宋体" w:hAnsi="宋体" w:eastAsia="宋体" w:cs="宋体"/>
      <w:color w:val="000000"/>
      <w:sz w:val="20"/>
      <w:szCs w:val="20"/>
      <w:u w:val="none"/>
    </w:rPr>
  </w:style>
  <w:style w:type="character" w:customStyle="1" w:styleId="8">
    <w:name w:val="font41"/>
    <w:basedOn w:val="6"/>
    <w:autoRedefine/>
    <w:qFormat/>
    <w:uiPriority w:val="0"/>
    <w:rPr>
      <w:rFonts w:ascii="宋体" w:hAnsi="宋体" w:eastAsia="宋体" w:cs="宋体"/>
      <w:color w:val="000000"/>
      <w:sz w:val="20"/>
      <w:szCs w:val="20"/>
      <w:u w:val="none"/>
    </w:rPr>
  </w:style>
  <w:style w:type="character" w:customStyle="1" w:styleId="9">
    <w:name w:val="font11"/>
    <w:basedOn w:val="6"/>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394</Words>
  <Characters>461</Characters>
  <Lines>0</Lines>
  <Paragraphs>0</Paragraphs>
  <TotalTime>8</TotalTime>
  <ScaleCrop>false</ScaleCrop>
  <LinksUpToDate>false</LinksUpToDate>
  <CharactersWithSpaces>577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2024-08-06T03:27:00Z</dcterms:created>
  <dc:creator>Joesant</dc:creator>
  <cp:lastModifiedBy>Joesant</cp:lastModifiedBy>
  <dcterms:modified xsi:type="dcterms:W3CDTF">2026-09-21T08:49:00Z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BCC7C933691A41C99DA8718D35B67807_13</vt:lpwstr>
  </property>
  <property fmtid="{D5CDD505-2E9C-101B-9397-08002B2CF9AE}" pid="4" name="KSOTemplateDocerSaveRecord">
    <vt:lpwstr>eyJoZGlkIjoiZTBlMzRlOWY5ZTdhYzEyYjM4YmE5NjRmNDI2MzYzNDEiLCJ1c2VySWQiOiIxMDg5NzkwNzkwIn0=</vt:lpwstr>
  </property>
</Properties>
</file>